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BEB85" w14:textId="38142DFF" w:rsidR="0015141B" w:rsidRPr="00EE006E" w:rsidRDefault="00ED0D79" w:rsidP="001514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Meeting </w:t>
      </w:r>
      <w:r w:rsidR="009C700D">
        <w:rPr>
          <w:b/>
          <w:sz w:val="24"/>
          <w:szCs w:val="24"/>
        </w:rPr>
        <w:t>#92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15141B" w:rsidRPr="00E10154">
        <w:rPr>
          <w:b/>
          <w:i/>
          <w:sz w:val="24"/>
          <w:szCs w:val="24"/>
          <w:lang w:eastAsia="ko-KR"/>
        </w:rPr>
        <w:t>R1-</w:t>
      </w:r>
      <w:r w:rsidR="005260CB" w:rsidRPr="00E10154">
        <w:rPr>
          <w:b/>
          <w:i/>
          <w:sz w:val="24"/>
          <w:szCs w:val="24"/>
          <w:lang w:eastAsia="ko-KR"/>
        </w:rPr>
        <w:t>180</w:t>
      </w:r>
      <w:r w:rsidR="005260CB" w:rsidRPr="005260CB">
        <w:rPr>
          <w:b/>
          <w:i/>
          <w:sz w:val="24"/>
          <w:szCs w:val="24"/>
          <w:lang w:eastAsia="ko-KR"/>
        </w:rPr>
        <w:t>4404</w:t>
      </w:r>
    </w:p>
    <w:bookmarkEnd w:id="0"/>
    <w:bookmarkEnd w:id="1"/>
    <w:p w14:paraId="4186FD92" w14:textId="4028072F" w:rsidR="0015141B" w:rsidRPr="00EE006E" w:rsidRDefault="00EA3381" w:rsidP="0015141B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Sanya, China</w:t>
      </w:r>
      <w:r w:rsidR="009C700D" w:rsidRPr="009C700D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April 16</w:t>
      </w:r>
      <w:r w:rsidR="009C700D" w:rsidRPr="009C700D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April</w:t>
      </w:r>
      <w:r w:rsidR="009C700D" w:rsidRPr="009C700D">
        <w:rPr>
          <w:b/>
          <w:bCs/>
          <w:noProof/>
          <w:sz w:val="24"/>
          <w:szCs w:val="24"/>
          <w:lang w:eastAsia="ko-KR"/>
        </w:rPr>
        <w:t xml:space="preserve"> 2</w:t>
      </w:r>
      <w:r>
        <w:rPr>
          <w:b/>
          <w:bCs/>
          <w:noProof/>
          <w:sz w:val="24"/>
          <w:szCs w:val="24"/>
          <w:lang w:eastAsia="ko-KR"/>
        </w:rPr>
        <w:t>0th</w:t>
      </w:r>
      <w:r w:rsidR="009C700D" w:rsidRPr="009C700D">
        <w:rPr>
          <w:b/>
          <w:bCs/>
          <w:noProof/>
          <w:sz w:val="24"/>
          <w:szCs w:val="24"/>
          <w:lang w:eastAsia="ko-KR"/>
        </w:rPr>
        <w:t>, 2018</w:t>
      </w:r>
    </w:p>
    <w:p w14:paraId="08664EDD" w14:textId="0C773CA2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6A3C17">
        <w:rPr>
          <w:rFonts w:ascii="Arial" w:hAnsi="Arial"/>
          <w:sz w:val="24"/>
        </w:rPr>
        <w:t>7.6.3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3D0582DD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6A3C17" w:rsidRPr="006A3C17">
        <w:rPr>
          <w:rFonts w:ascii="Arial" w:hAnsi="Arial"/>
          <w:sz w:val="24"/>
        </w:rPr>
        <w:t>Potential physical layer channel design for NR-U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569C526" w14:textId="7BBCFAD2" w:rsidR="0072612A" w:rsidRDefault="0072612A" w:rsidP="006A3C17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RAN1 #92 [1], the following agreement was made: </w:t>
      </w:r>
    </w:p>
    <w:p w14:paraId="2E0567F9" w14:textId="1BEF53C9" w:rsidR="0072612A" w:rsidRDefault="0072612A" w:rsidP="006A3C17">
      <w:pPr>
        <w:jc w:val="both"/>
        <w:rPr>
          <w:lang w:val="en-US" w:eastAsia="ja-JP"/>
        </w:rPr>
      </w:pPr>
      <w:r>
        <w:rPr>
          <w:rFonts w:eastAsia="MS Minch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C6475" wp14:editId="29236319">
                <wp:simplePos x="0" y="0"/>
                <wp:positionH relativeFrom="column">
                  <wp:posOffset>-17145</wp:posOffset>
                </wp:positionH>
                <wp:positionV relativeFrom="paragraph">
                  <wp:posOffset>2379</wp:posOffset>
                </wp:positionV>
                <wp:extent cx="6113780" cy="2087880"/>
                <wp:effectExtent l="0" t="0" r="20320" b="2667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2087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53C2CB" w14:textId="77777777" w:rsidR="0072612A" w:rsidRDefault="0072612A" w:rsidP="0072612A">
                            <w:p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0E12E6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F64C02F" w14:textId="77777777" w:rsidR="0072612A" w:rsidRDefault="0072612A" w:rsidP="0072612A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study targets identification of additional functionality needed for a PHY layer design (except channel access procedures) for operation in unlicensed spectrum that may be applicable over a particular frequency range (e.g., sub-7 GHz, 7-52.6 GHz, &gt; 52.6 GHz).</w:t>
                            </w:r>
                          </w:p>
                          <w:p w14:paraId="672DAE21" w14:textId="77777777" w:rsidR="0072612A" w:rsidRDefault="0072612A" w:rsidP="0072612A">
                            <w:pPr>
                              <w:numPr>
                                <w:ilvl w:val="1"/>
                                <w:numId w:val="1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FFS: The definition of the frequency ranges</w:t>
                            </w:r>
                          </w:p>
                          <w:p w14:paraId="5E7E06C5" w14:textId="77777777" w:rsidR="0072612A" w:rsidRDefault="0072612A" w:rsidP="0072612A">
                            <w:pPr>
                              <w:numPr>
                                <w:ilvl w:val="1"/>
                                <w:numId w:val="1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Optimizations for a particular frequency band may be necessary.</w:t>
                            </w:r>
                          </w:p>
                          <w:p w14:paraId="23D6AB27" w14:textId="77777777" w:rsidR="0072612A" w:rsidRDefault="0072612A" w:rsidP="0072612A">
                            <w:pPr>
                              <w:numPr>
                                <w:ilvl w:val="1"/>
                                <w:numId w:val="1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Channel bandwidths below 5 MHz are not targeted</w:t>
                            </w:r>
                          </w:p>
                          <w:p w14:paraId="7D70CD1B" w14:textId="77777777" w:rsidR="0072612A" w:rsidRDefault="0072612A" w:rsidP="0072612A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study targets the design of channel access procedures for frequency bands based on coexistence and regulatory considerations applicable to the band</w:t>
                            </w:r>
                            <w:r w:rsidRPr="00EA2749">
                              <w:rPr>
                                <w:lang w:eastAsia="x-none"/>
                              </w:rPr>
                              <w:t>.</w:t>
                            </w:r>
                          </w:p>
                          <w:p w14:paraId="6B79921F" w14:textId="77777777" w:rsidR="0072612A" w:rsidRDefault="0072612A" w:rsidP="0072612A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The study includes identification of procedures for technology neutral channel access for frequency bands that may become available subject to regulations.</w:t>
                            </w:r>
                          </w:p>
                          <w:p w14:paraId="31E79F21" w14:textId="77777777" w:rsidR="0072612A" w:rsidRDefault="0072612A" w:rsidP="0072612A">
                            <w:pPr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0E6B2F">
                              <w:rPr>
                                <w:lang w:eastAsia="x-none"/>
                              </w:rPr>
                              <w:t xml:space="preserve">The study assumes regulation will provide the framework concerning the protection for the </w:t>
                            </w:r>
                            <w:proofErr w:type="spellStart"/>
                            <w:r w:rsidRPr="000E6B2F">
                              <w:rPr>
                                <w:lang w:eastAsia="x-none"/>
                              </w:rPr>
                              <w:t>techonologies</w:t>
                            </w:r>
                            <w:proofErr w:type="spellEnd"/>
                            <w:r w:rsidRPr="000E6B2F">
                              <w:rPr>
                                <w:lang w:eastAsia="x-none"/>
                              </w:rPr>
                              <w:t xml:space="preserve"> not using unlicensed access in those bands</w:t>
                            </w:r>
                            <w:r>
                              <w:rPr>
                                <w:lang w:eastAsia="x-none"/>
                              </w:rPr>
                              <w:t>.</w:t>
                            </w:r>
                          </w:p>
                          <w:p w14:paraId="1DBB40FA" w14:textId="7F96B2BC" w:rsidR="0072612A" w:rsidRDefault="0072612A" w:rsidP="0072612A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3C647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.35pt;margin-top:.2pt;width:481.4pt;height:1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">
                <v:textbox>
                  <w:txbxContent>
                    <w:p w14:paraId="5353C2CB" w14:textId="77777777" w:rsidR="0072612A" w:rsidRDefault="0072612A" w:rsidP="0072612A">
                      <w:pPr>
                        <w:spacing w:after="0"/>
                        <w:rPr>
                          <w:lang w:eastAsia="x-none"/>
                        </w:rPr>
                      </w:pPr>
                      <w:r w:rsidRPr="000E12E6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F64C02F" w14:textId="77777777" w:rsidR="0072612A" w:rsidRDefault="0072612A" w:rsidP="0072612A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study targets identification of additional functionality needed for a PHY layer design (except channel access procedures) for operation in unlicensed spectrum that may be applicable over a particular frequency range (e.g., sub-7 GHz, 7-52.6 GHz, &gt; 52.6 GHz).</w:t>
                      </w:r>
                    </w:p>
                    <w:p w14:paraId="672DAE21" w14:textId="77777777" w:rsidR="0072612A" w:rsidRDefault="0072612A" w:rsidP="0072612A">
                      <w:pPr>
                        <w:numPr>
                          <w:ilvl w:val="1"/>
                          <w:numId w:val="1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FFS: The definition of the frequency ranges</w:t>
                      </w:r>
                    </w:p>
                    <w:p w14:paraId="5E7E06C5" w14:textId="77777777" w:rsidR="0072612A" w:rsidRDefault="0072612A" w:rsidP="0072612A">
                      <w:pPr>
                        <w:numPr>
                          <w:ilvl w:val="1"/>
                          <w:numId w:val="1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Optimizations for a particular frequency band may be necessary.</w:t>
                      </w:r>
                    </w:p>
                    <w:p w14:paraId="23D6AB27" w14:textId="77777777" w:rsidR="0072612A" w:rsidRDefault="0072612A" w:rsidP="0072612A">
                      <w:pPr>
                        <w:numPr>
                          <w:ilvl w:val="1"/>
                          <w:numId w:val="1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Channel bandwidths below 5 MHz are not targeted</w:t>
                      </w:r>
                    </w:p>
                    <w:p w14:paraId="7D70CD1B" w14:textId="77777777" w:rsidR="0072612A" w:rsidRDefault="0072612A" w:rsidP="0072612A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study targets the design of channel access procedures for frequency bands based on coexistence and regulatory considerations applicable to the band</w:t>
                      </w:r>
                      <w:r w:rsidRPr="00EA2749">
                        <w:rPr>
                          <w:lang w:eastAsia="x-none"/>
                        </w:rPr>
                        <w:t>.</w:t>
                      </w:r>
                    </w:p>
                    <w:p w14:paraId="6B79921F" w14:textId="77777777" w:rsidR="0072612A" w:rsidRDefault="0072612A" w:rsidP="0072612A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The study includes identification of procedures for technology neutral channel access for frequency bands that may become available subject to regulations.</w:t>
                      </w:r>
                    </w:p>
                    <w:p w14:paraId="31E79F21" w14:textId="77777777" w:rsidR="0072612A" w:rsidRDefault="0072612A" w:rsidP="0072612A">
                      <w:pPr>
                        <w:numPr>
                          <w:ilvl w:val="1"/>
                          <w:numId w:val="10"/>
                        </w:numPr>
                        <w:spacing w:after="0"/>
                        <w:rPr>
                          <w:lang w:eastAsia="x-none"/>
                        </w:rPr>
                      </w:pPr>
                      <w:r w:rsidRPr="000E6B2F">
                        <w:rPr>
                          <w:lang w:eastAsia="x-none"/>
                        </w:rPr>
                        <w:t xml:space="preserve">The study assumes regulation will provide the framework concerning the protection for the </w:t>
                      </w:r>
                      <w:proofErr w:type="spellStart"/>
                      <w:r w:rsidRPr="000E6B2F">
                        <w:rPr>
                          <w:lang w:eastAsia="x-none"/>
                        </w:rPr>
                        <w:t>techonologies</w:t>
                      </w:r>
                      <w:proofErr w:type="spellEnd"/>
                      <w:r w:rsidRPr="000E6B2F">
                        <w:rPr>
                          <w:lang w:eastAsia="x-none"/>
                        </w:rPr>
                        <w:t xml:space="preserve"> not using unlicensed access in those bands</w:t>
                      </w:r>
                      <w:r>
                        <w:rPr>
                          <w:lang w:eastAsia="x-none"/>
                        </w:rPr>
                        <w:t>.</w:t>
                      </w:r>
                    </w:p>
                    <w:p w14:paraId="1DBB40FA" w14:textId="7F96B2BC" w:rsidR="0072612A" w:rsidRDefault="0072612A" w:rsidP="0072612A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ja-JP"/>
        </w:rPr>
        <w:t xml:space="preserve"> </w:t>
      </w:r>
    </w:p>
    <w:p w14:paraId="20727AD9" w14:textId="77777777" w:rsidR="0072612A" w:rsidRDefault="0072612A" w:rsidP="006A3C17">
      <w:pPr>
        <w:jc w:val="both"/>
        <w:rPr>
          <w:lang w:val="en-US" w:eastAsia="ja-JP"/>
        </w:rPr>
      </w:pPr>
    </w:p>
    <w:p w14:paraId="62DFA3EE" w14:textId="77777777" w:rsidR="0072612A" w:rsidRDefault="0072612A" w:rsidP="006A3C17">
      <w:pPr>
        <w:jc w:val="both"/>
        <w:rPr>
          <w:lang w:val="en-US" w:eastAsia="ja-JP"/>
        </w:rPr>
      </w:pPr>
    </w:p>
    <w:p w14:paraId="289DCEC6" w14:textId="77777777" w:rsidR="0072612A" w:rsidRDefault="0072612A" w:rsidP="006A3C17">
      <w:pPr>
        <w:jc w:val="both"/>
        <w:rPr>
          <w:lang w:val="en-US" w:eastAsia="ja-JP"/>
        </w:rPr>
      </w:pPr>
    </w:p>
    <w:p w14:paraId="49124AC2" w14:textId="77777777" w:rsidR="0072612A" w:rsidRDefault="0072612A" w:rsidP="006A3C17">
      <w:pPr>
        <w:jc w:val="both"/>
        <w:rPr>
          <w:lang w:val="en-US" w:eastAsia="ja-JP"/>
        </w:rPr>
      </w:pPr>
    </w:p>
    <w:p w14:paraId="63B52FE7" w14:textId="77777777" w:rsidR="0072612A" w:rsidRDefault="0072612A" w:rsidP="006A3C17">
      <w:pPr>
        <w:jc w:val="both"/>
        <w:rPr>
          <w:lang w:val="en-US" w:eastAsia="ja-JP"/>
        </w:rPr>
      </w:pPr>
    </w:p>
    <w:p w14:paraId="38FB92A0" w14:textId="77777777" w:rsidR="0072612A" w:rsidRDefault="0072612A" w:rsidP="006A3C17">
      <w:pPr>
        <w:jc w:val="both"/>
        <w:rPr>
          <w:lang w:val="en-US" w:eastAsia="ja-JP"/>
        </w:rPr>
      </w:pPr>
    </w:p>
    <w:p w14:paraId="5DCAE398" w14:textId="77777777" w:rsidR="0072612A" w:rsidRDefault="0072612A" w:rsidP="006A3C17">
      <w:pPr>
        <w:jc w:val="both"/>
        <w:rPr>
          <w:lang w:val="en-US" w:eastAsia="ja-JP"/>
        </w:rPr>
      </w:pPr>
    </w:p>
    <w:p w14:paraId="546527B6" w14:textId="77777777" w:rsidR="0072612A" w:rsidRPr="0072612A" w:rsidRDefault="0072612A" w:rsidP="006A3C17">
      <w:pPr>
        <w:jc w:val="both"/>
        <w:rPr>
          <w:sz w:val="2"/>
          <w:lang w:val="en-US" w:eastAsia="ja-JP"/>
        </w:rPr>
      </w:pPr>
    </w:p>
    <w:p w14:paraId="009FBBD7" w14:textId="1E9A7F1D" w:rsidR="00C4654D" w:rsidRPr="00EE006E" w:rsidRDefault="00EB2B9B" w:rsidP="000C65D7">
      <w:pPr>
        <w:spacing w:after="0" w:line="288" w:lineRule="auto"/>
        <w:jc w:val="both"/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the following </w:t>
      </w:r>
      <w:r w:rsidR="006A3C17">
        <w:rPr>
          <w:lang w:val="en-US" w:eastAsia="ja-JP"/>
        </w:rPr>
        <w:t xml:space="preserve">aspects related to the potential physical layer channel design for NR unlicensed: </w:t>
      </w:r>
    </w:p>
    <w:p w14:paraId="5958DCC8" w14:textId="45D9E34A" w:rsidR="00EB2B9B" w:rsidRPr="00E10154" w:rsidRDefault="006A3C17" w:rsidP="000C65D7">
      <w:pPr>
        <w:pStyle w:val="ListParagraph"/>
        <w:numPr>
          <w:ilvl w:val="0"/>
          <w:numId w:val="5"/>
        </w:numPr>
        <w:spacing w:after="0" w:line="288" w:lineRule="auto"/>
        <w:ind w:leftChars="0"/>
        <w:rPr>
          <w:lang w:val="en-US" w:eastAsia="ja-JP"/>
        </w:rPr>
      </w:pPr>
      <w:r w:rsidRPr="00E10154">
        <w:rPr>
          <w:lang w:val="en-US" w:eastAsia="ja-JP"/>
        </w:rPr>
        <w:t>Synchronization signals and broadcast channels</w:t>
      </w:r>
      <w:r w:rsidR="00EB2B9B" w:rsidRPr="00E10154">
        <w:rPr>
          <w:lang w:val="en-US" w:eastAsia="ja-JP"/>
        </w:rPr>
        <w:t xml:space="preserve"> </w:t>
      </w:r>
    </w:p>
    <w:p w14:paraId="030EC692" w14:textId="4A1AF806" w:rsidR="006A3C17" w:rsidRPr="00E10154" w:rsidRDefault="006A3C17" w:rsidP="000C65D7">
      <w:pPr>
        <w:pStyle w:val="ListParagraph"/>
        <w:numPr>
          <w:ilvl w:val="0"/>
          <w:numId w:val="5"/>
        </w:numPr>
        <w:spacing w:after="0" w:line="288" w:lineRule="auto"/>
        <w:ind w:leftChars="0"/>
        <w:rPr>
          <w:lang w:val="en-US" w:eastAsia="ja-JP"/>
        </w:rPr>
      </w:pPr>
      <w:r w:rsidRPr="00E10154">
        <w:rPr>
          <w:lang w:val="en-US" w:eastAsia="ja-JP"/>
        </w:rPr>
        <w:t>Waveform for PUSCH/PUCCH/</w:t>
      </w:r>
      <w:r w:rsidR="00E10154" w:rsidRPr="00E10154">
        <w:rPr>
          <w:lang w:val="en-US" w:eastAsia="ja-JP"/>
        </w:rPr>
        <w:t>SRS</w:t>
      </w:r>
      <w:r w:rsidR="00E10154">
        <w:rPr>
          <w:lang w:val="en-US" w:eastAsia="ja-JP"/>
        </w:rPr>
        <w:t>/</w:t>
      </w:r>
      <w:r w:rsidRPr="00E10154">
        <w:rPr>
          <w:lang w:val="en-US" w:eastAsia="ja-JP"/>
        </w:rPr>
        <w:t>PRACH</w:t>
      </w:r>
    </w:p>
    <w:p w14:paraId="762B6A5D" w14:textId="335A827D" w:rsidR="006A3C17" w:rsidRPr="00E10154" w:rsidRDefault="006A3C17" w:rsidP="000C65D7">
      <w:pPr>
        <w:pStyle w:val="ListParagraph"/>
        <w:numPr>
          <w:ilvl w:val="0"/>
          <w:numId w:val="5"/>
        </w:numPr>
        <w:spacing w:line="288" w:lineRule="auto"/>
        <w:ind w:leftChars="0"/>
        <w:rPr>
          <w:lang w:val="en-US" w:eastAsia="ja-JP"/>
        </w:rPr>
      </w:pPr>
      <w:r w:rsidRPr="00E10154">
        <w:rPr>
          <w:lang w:val="en-US" w:eastAsia="ja-JP"/>
        </w:rPr>
        <w:t xml:space="preserve">HARQ-ACK feedback </w:t>
      </w:r>
    </w:p>
    <w:p w14:paraId="679ACB42" w14:textId="52F15F8E" w:rsidR="00530B88" w:rsidRPr="00EE006E" w:rsidRDefault="006A3C17" w:rsidP="00530B88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Synchronization Signals and Broadcast Channels</w:t>
      </w:r>
    </w:p>
    <w:p w14:paraId="0F553F30" w14:textId="77777777" w:rsidR="006A3C17" w:rsidRDefault="006A3C17" w:rsidP="00E10154">
      <w:pPr>
        <w:spacing w:after="0" w:line="288" w:lineRule="auto"/>
        <w:jc w:val="both"/>
        <w:rPr>
          <w:lang w:val="en-US" w:eastAsia="ja-JP"/>
        </w:rPr>
      </w:pPr>
      <w:r>
        <w:rPr>
          <w:lang w:val="en-US" w:eastAsia="ja-JP"/>
        </w:rPr>
        <w:t xml:space="preserve">NR supports carrier frequency up to 52.6 GHz, and the candidate subcarrier spacing of SS/PBCH block is determined per carrier frequency range: </w:t>
      </w:r>
    </w:p>
    <w:p w14:paraId="5465C238" w14:textId="77777777" w:rsidR="006A3C17" w:rsidRDefault="006A3C17" w:rsidP="00E10154">
      <w:pPr>
        <w:pStyle w:val="ListParagraph"/>
        <w:numPr>
          <w:ilvl w:val="0"/>
          <w:numId w:val="9"/>
        </w:numPr>
        <w:spacing w:after="0" w:line="288" w:lineRule="auto"/>
        <w:ind w:leftChars="0"/>
        <w:jc w:val="both"/>
        <w:rPr>
          <w:lang w:val="en-US" w:eastAsia="ja-JP"/>
        </w:rPr>
      </w:pPr>
      <w:r w:rsidRPr="00D3633A">
        <w:rPr>
          <w:lang w:val="en-US" w:eastAsia="ja-JP"/>
        </w:rPr>
        <w:t xml:space="preserve">15 kHz and/or 30 kHz for carrier frequency </w:t>
      </w:r>
      <w:r>
        <w:rPr>
          <w:lang w:val="en-US" w:eastAsia="ja-JP"/>
        </w:rPr>
        <w:t>range up</w:t>
      </w:r>
      <w:r w:rsidRPr="00D3633A">
        <w:rPr>
          <w:lang w:val="en-US" w:eastAsia="ja-JP"/>
        </w:rPr>
        <w:t xml:space="preserve"> to 6 GHz</w:t>
      </w:r>
      <w:r>
        <w:rPr>
          <w:lang w:val="en-US" w:eastAsia="ja-JP"/>
        </w:rPr>
        <w:t>;</w:t>
      </w:r>
      <w:r w:rsidRPr="00D3633A">
        <w:rPr>
          <w:lang w:val="en-US" w:eastAsia="ja-JP"/>
        </w:rPr>
        <w:t xml:space="preserve"> </w:t>
      </w:r>
    </w:p>
    <w:p w14:paraId="5ED8B782" w14:textId="77777777" w:rsidR="006A3C17" w:rsidRDefault="006A3C17" w:rsidP="006A3C17">
      <w:pPr>
        <w:pStyle w:val="ListParagraph"/>
        <w:numPr>
          <w:ilvl w:val="0"/>
          <w:numId w:val="9"/>
        </w:numPr>
        <w:spacing w:line="288" w:lineRule="auto"/>
        <w:ind w:leftChars="0"/>
        <w:jc w:val="both"/>
        <w:rPr>
          <w:lang w:val="en-US" w:eastAsia="ja-JP"/>
        </w:rPr>
      </w:pPr>
      <w:r w:rsidRPr="00D3633A">
        <w:rPr>
          <w:lang w:val="en-US" w:eastAsia="ja-JP"/>
        </w:rPr>
        <w:t>120 kHz and/or 24</w:t>
      </w:r>
      <w:r>
        <w:rPr>
          <w:lang w:val="en-US" w:eastAsia="ja-JP"/>
        </w:rPr>
        <w:t>0</w:t>
      </w:r>
      <w:r w:rsidRPr="00D3633A">
        <w:rPr>
          <w:lang w:val="en-US" w:eastAsia="ja-JP"/>
        </w:rPr>
        <w:t xml:space="preserve"> kHz for carrier frequency </w:t>
      </w:r>
      <w:r>
        <w:rPr>
          <w:lang w:val="en-US" w:eastAsia="ja-JP"/>
        </w:rPr>
        <w:t xml:space="preserve">range from </w:t>
      </w:r>
      <w:r w:rsidRPr="00D3633A">
        <w:rPr>
          <w:lang w:val="en-US" w:eastAsia="ja-JP"/>
        </w:rPr>
        <w:t xml:space="preserve">6 GHz to 52.6 GHz. </w:t>
      </w:r>
    </w:p>
    <w:p w14:paraId="3B04D5E9" w14:textId="10EBA3FB" w:rsidR="006A3C17" w:rsidRDefault="006A3C17" w:rsidP="00E10154">
      <w:pPr>
        <w:spacing w:after="0" w:line="288" w:lineRule="auto"/>
        <w:jc w:val="both"/>
        <w:rPr>
          <w:lang w:val="en-US" w:eastAsia="ja-JP"/>
        </w:rPr>
      </w:pPr>
      <w:r w:rsidRPr="00D3633A">
        <w:rPr>
          <w:lang w:val="en-US" w:eastAsia="ja-JP"/>
        </w:rPr>
        <w:t>Meanwhile, the maximum number of nominal SS/PBCH blocks within a SS/PBCH burst set</w:t>
      </w:r>
      <w:r>
        <w:rPr>
          <w:lang w:val="en-US" w:eastAsia="ja-JP"/>
        </w:rPr>
        <w:t xml:space="preserve">, </w:t>
      </w:r>
      <w:proofErr w:type="spellStart"/>
      <w:r w:rsidRPr="00D3633A">
        <w:rPr>
          <w:i/>
          <w:lang w:val="en-US" w:eastAsia="ja-JP"/>
        </w:rPr>
        <w:t>L</w:t>
      </w:r>
      <w:r w:rsidRPr="006A3C17">
        <w:rPr>
          <w:vertAlign w:val="subscript"/>
          <w:lang w:val="en-US" w:eastAsia="ja-JP"/>
        </w:rPr>
        <w:t>max</w:t>
      </w:r>
      <w:proofErr w:type="spellEnd"/>
      <w:r>
        <w:rPr>
          <w:lang w:val="en-US" w:eastAsia="ja-JP"/>
        </w:rPr>
        <w:t>,</w:t>
      </w:r>
      <w:r w:rsidRPr="00D3633A">
        <w:rPr>
          <w:lang w:val="en-US" w:eastAsia="ja-JP"/>
        </w:rPr>
        <w:t xml:space="preserve"> is also determined per carrier frequency range: </w:t>
      </w:r>
    </w:p>
    <w:p w14:paraId="438F23C3" w14:textId="5149B883" w:rsidR="006A3C17" w:rsidRDefault="006A3C17" w:rsidP="00E10154">
      <w:pPr>
        <w:pStyle w:val="ListParagraph"/>
        <w:numPr>
          <w:ilvl w:val="0"/>
          <w:numId w:val="9"/>
        </w:numPr>
        <w:spacing w:after="0" w:line="288" w:lineRule="auto"/>
        <w:ind w:leftChars="0"/>
        <w:jc w:val="both"/>
        <w:rPr>
          <w:lang w:val="en-US" w:eastAsia="ja-JP"/>
        </w:rPr>
      </w:pPr>
      <w:proofErr w:type="spellStart"/>
      <w:r w:rsidRPr="00D3633A">
        <w:rPr>
          <w:i/>
          <w:lang w:val="en-US" w:eastAsia="ja-JP"/>
        </w:rPr>
        <w:t>L</w:t>
      </w:r>
      <w:r w:rsidRPr="006A3C17">
        <w:rPr>
          <w:vertAlign w:val="subscript"/>
          <w:lang w:val="en-US" w:eastAsia="ja-JP"/>
        </w:rPr>
        <w:t>max</w:t>
      </w:r>
      <w:proofErr w:type="spellEnd"/>
      <w:r>
        <w:rPr>
          <w:lang w:val="en-US" w:eastAsia="ja-JP"/>
        </w:rPr>
        <w:t xml:space="preserve"> is 4</w:t>
      </w:r>
      <w:r w:rsidRPr="00D3633A">
        <w:rPr>
          <w:lang w:val="en-US" w:eastAsia="ja-JP"/>
        </w:rPr>
        <w:t xml:space="preserve"> for carrier frequency </w:t>
      </w:r>
      <w:r>
        <w:rPr>
          <w:lang w:val="en-US" w:eastAsia="ja-JP"/>
        </w:rPr>
        <w:t>range up</w:t>
      </w:r>
      <w:r w:rsidRPr="00D3633A">
        <w:rPr>
          <w:lang w:val="en-US" w:eastAsia="ja-JP"/>
        </w:rPr>
        <w:t xml:space="preserve"> to </w:t>
      </w:r>
      <w:r>
        <w:rPr>
          <w:lang w:val="en-US" w:eastAsia="ja-JP"/>
        </w:rPr>
        <w:t>3</w:t>
      </w:r>
      <w:r w:rsidRPr="00D3633A">
        <w:rPr>
          <w:lang w:val="en-US" w:eastAsia="ja-JP"/>
        </w:rPr>
        <w:t xml:space="preserve"> GHz</w:t>
      </w:r>
      <w:r>
        <w:rPr>
          <w:lang w:val="en-US" w:eastAsia="ja-JP"/>
        </w:rPr>
        <w:t>;</w:t>
      </w:r>
      <w:r w:rsidRPr="00D3633A">
        <w:rPr>
          <w:lang w:val="en-US" w:eastAsia="ja-JP"/>
        </w:rPr>
        <w:t xml:space="preserve"> </w:t>
      </w:r>
    </w:p>
    <w:p w14:paraId="655BBAB1" w14:textId="50F3A87A" w:rsidR="006A3C17" w:rsidRDefault="006A3C17" w:rsidP="00E10154">
      <w:pPr>
        <w:pStyle w:val="ListParagraph"/>
        <w:numPr>
          <w:ilvl w:val="0"/>
          <w:numId w:val="9"/>
        </w:numPr>
        <w:spacing w:after="0" w:line="288" w:lineRule="auto"/>
        <w:ind w:leftChars="0"/>
        <w:jc w:val="both"/>
        <w:rPr>
          <w:lang w:val="en-US" w:eastAsia="ja-JP"/>
        </w:rPr>
      </w:pPr>
      <w:proofErr w:type="spellStart"/>
      <w:r w:rsidRPr="00D3633A">
        <w:rPr>
          <w:i/>
          <w:lang w:val="en-US" w:eastAsia="ja-JP"/>
        </w:rPr>
        <w:t>L</w:t>
      </w:r>
      <w:r w:rsidRPr="006A3C17">
        <w:rPr>
          <w:vertAlign w:val="subscript"/>
          <w:lang w:val="en-US" w:eastAsia="ja-JP"/>
        </w:rPr>
        <w:t>max</w:t>
      </w:r>
      <w:proofErr w:type="spellEnd"/>
      <w:r>
        <w:rPr>
          <w:lang w:val="en-US" w:eastAsia="ja-JP"/>
        </w:rPr>
        <w:t xml:space="preserve"> is 8</w:t>
      </w:r>
      <w:r w:rsidRPr="00D3633A">
        <w:rPr>
          <w:lang w:val="en-US" w:eastAsia="ja-JP"/>
        </w:rPr>
        <w:t xml:space="preserve"> for carrier frequency </w:t>
      </w:r>
      <w:r>
        <w:rPr>
          <w:lang w:val="en-US" w:eastAsia="ja-JP"/>
        </w:rPr>
        <w:t>range from</w:t>
      </w:r>
      <w:r w:rsidRPr="00D3633A">
        <w:rPr>
          <w:lang w:val="en-US" w:eastAsia="ja-JP"/>
        </w:rPr>
        <w:t xml:space="preserve"> </w:t>
      </w:r>
      <w:r>
        <w:rPr>
          <w:lang w:val="en-US" w:eastAsia="ja-JP"/>
        </w:rPr>
        <w:t>3</w:t>
      </w:r>
      <w:r w:rsidRPr="00D3633A">
        <w:rPr>
          <w:lang w:val="en-US" w:eastAsia="ja-JP"/>
        </w:rPr>
        <w:t xml:space="preserve"> GHz</w:t>
      </w:r>
      <w:r>
        <w:rPr>
          <w:lang w:val="en-US" w:eastAsia="ja-JP"/>
        </w:rPr>
        <w:t xml:space="preserve"> to 6 GHz;</w:t>
      </w:r>
      <w:r w:rsidRPr="00D3633A">
        <w:rPr>
          <w:lang w:val="en-US" w:eastAsia="ja-JP"/>
        </w:rPr>
        <w:t xml:space="preserve"> </w:t>
      </w:r>
    </w:p>
    <w:p w14:paraId="0B1603C0" w14:textId="5E243FCF" w:rsidR="006A3C17" w:rsidRDefault="006A3C17" w:rsidP="006A3C17">
      <w:pPr>
        <w:pStyle w:val="ListParagraph"/>
        <w:numPr>
          <w:ilvl w:val="0"/>
          <w:numId w:val="9"/>
        </w:numPr>
        <w:spacing w:line="288" w:lineRule="auto"/>
        <w:ind w:leftChars="0"/>
        <w:jc w:val="both"/>
        <w:rPr>
          <w:lang w:val="en-US" w:eastAsia="ja-JP"/>
        </w:rPr>
      </w:pPr>
      <w:proofErr w:type="spellStart"/>
      <w:r w:rsidRPr="00D3633A">
        <w:rPr>
          <w:i/>
          <w:lang w:val="en-US" w:eastAsia="ja-JP"/>
        </w:rPr>
        <w:t>L</w:t>
      </w:r>
      <w:r w:rsidRPr="006A3C17">
        <w:rPr>
          <w:vertAlign w:val="subscript"/>
          <w:lang w:val="en-US" w:eastAsia="ja-JP"/>
        </w:rPr>
        <w:t>max</w:t>
      </w:r>
      <w:proofErr w:type="spellEnd"/>
      <w:r>
        <w:rPr>
          <w:lang w:val="en-US" w:eastAsia="ja-JP"/>
        </w:rPr>
        <w:t xml:space="preserve"> is 64</w:t>
      </w:r>
      <w:r w:rsidRPr="00D3633A">
        <w:rPr>
          <w:lang w:val="en-US" w:eastAsia="ja-JP"/>
        </w:rPr>
        <w:t xml:space="preserve"> for carrier frequency </w:t>
      </w:r>
      <w:r>
        <w:rPr>
          <w:lang w:val="en-US" w:eastAsia="ja-JP"/>
        </w:rPr>
        <w:t xml:space="preserve">range from </w:t>
      </w:r>
      <w:r w:rsidRPr="00D3633A">
        <w:rPr>
          <w:lang w:val="en-US" w:eastAsia="ja-JP"/>
        </w:rPr>
        <w:t xml:space="preserve">6 GHz to 52.6 GHz. </w:t>
      </w:r>
    </w:p>
    <w:p w14:paraId="669AA25B" w14:textId="631F5D4C" w:rsidR="006A3C17" w:rsidRDefault="006A3C17" w:rsidP="006A3C17">
      <w:pPr>
        <w:spacing w:line="288" w:lineRule="auto"/>
        <w:jc w:val="both"/>
        <w:rPr>
          <w:lang w:val="en-US" w:eastAsia="ja-JP"/>
        </w:rPr>
      </w:pPr>
      <w:r>
        <w:rPr>
          <w:lang w:val="en-US" w:eastAsia="ja-JP"/>
        </w:rPr>
        <w:t xml:space="preserve">For a NR-U band, if its carrier frequency range can be covered by NR, it is preferable to reuse the candidate subcarrier spacing value(s) at least for SS/PBCH block, which can minimize the extra design for NR-U initial access; if its carrier frequency range is larger 52.6 GHz, e.g. 60 GHz unlicensed spectrum, the candidate subcarrier spacing for SS/PBCH block and maximum number of SS/PBCH blocks within a burst set should be </w:t>
      </w:r>
      <w:r w:rsidR="004E19A1">
        <w:rPr>
          <w:lang w:val="en-US" w:eastAsia="ja-JP"/>
        </w:rPr>
        <w:t xml:space="preserve">further </w:t>
      </w:r>
      <w:r>
        <w:rPr>
          <w:lang w:val="en-US" w:eastAsia="ja-JP"/>
        </w:rPr>
        <w:t xml:space="preserve">discussed. </w:t>
      </w:r>
    </w:p>
    <w:p w14:paraId="55537372" w14:textId="2B168B0C" w:rsidR="006A3C17" w:rsidRPr="00DB0A9F" w:rsidRDefault="006A3C17" w:rsidP="006A3C17">
      <w:pPr>
        <w:spacing w:line="288" w:lineRule="auto"/>
        <w:jc w:val="both"/>
        <w:rPr>
          <w:b/>
          <w:u w:val="single"/>
          <w:lang w:val="en-US" w:eastAsia="ja-JP"/>
        </w:rPr>
      </w:pPr>
      <w:r w:rsidRPr="00DB0A9F">
        <w:rPr>
          <w:b/>
          <w:u w:val="single"/>
          <w:lang w:val="en-US" w:eastAsia="ja-JP"/>
        </w:rPr>
        <w:t>Proposal</w:t>
      </w:r>
      <w:r>
        <w:rPr>
          <w:b/>
          <w:u w:val="single"/>
          <w:lang w:val="en-US" w:eastAsia="ja-JP"/>
        </w:rPr>
        <w:t xml:space="preserve"> </w:t>
      </w:r>
      <w:r>
        <w:rPr>
          <w:b/>
          <w:u w:val="single"/>
          <w:lang w:val="en-US"/>
        </w:rPr>
        <w:t>1</w:t>
      </w:r>
      <w:r w:rsidRPr="00DB0A9F">
        <w:rPr>
          <w:b/>
          <w:u w:val="single"/>
          <w:lang w:val="en-US" w:eastAsia="ja-JP"/>
        </w:rPr>
        <w:t xml:space="preserve">: NR-U shall reuse the candidate subcarrier spacing for SS/PBCH block and </w:t>
      </w:r>
      <w:r>
        <w:rPr>
          <w:b/>
          <w:u w:val="single"/>
          <w:lang w:val="en-US" w:eastAsia="ja-JP"/>
        </w:rPr>
        <w:t xml:space="preserve">the </w:t>
      </w:r>
      <w:r w:rsidRPr="00DB0A9F">
        <w:rPr>
          <w:b/>
          <w:u w:val="single"/>
          <w:lang w:val="en-US" w:eastAsia="ja-JP"/>
        </w:rPr>
        <w:t>maximum number of SS/PBCH block</w:t>
      </w:r>
      <w:r>
        <w:rPr>
          <w:b/>
          <w:u w:val="single"/>
          <w:lang w:val="en-US" w:eastAsia="ja-JP"/>
        </w:rPr>
        <w:t>s</w:t>
      </w:r>
      <w:r w:rsidRPr="00DB0A9F">
        <w:rPr>
          <w:b/>
          <w:u w:val="single"/>
          <w:lang w:val="en-US" w:eastAsia="ja-JP"/>
        </w:rPr>
        <w:t xml:space="preserve"> within a burst set for carrier frequency range lower than 52.6 GHz, and further study the parameters for carrier freque</w:t>
      </w:r>
      <w:r>
        <w:rPr>
          <w:b/>
          <w:u w:val="single"/>
          <w:lang w:val="en-US" w:eastAsia="ja-JP"/>
        </w:rPr>
        <w:t>ncy range larger than 52.6 GHz.</w:t>
      </w:r>
    </w:p>
    <w:p w14:paraId="5AAD95FF" w14:textId="77777777" w:rsidR="00BF6F15" w:rsidRPr="00BF6F15" w:rsidRDefault="00BF6F15" w:rsidP="00BF6F15">
      <w:pPr>
        <w:spacing w:line="288" w:lineRule="auto"/>
        <w:jc w:val="both"/>
        <w:rPr>
          <w:lang w:val="en-US" w:eastAsia="ja-JP"/>
        </w:rPr>
      </w:pPr>
      <w:r w:rsidRPr="00BF6F15">
        <w:rPr>
          <w:lang w:val="en-US" w:eastAsia="ja-JP"/>
        </w:rPr>
        <w:lastRenderedPageBreak/>
        <w:t xml:space="preserve">In NR-U, the transmission of SS/PBCH blocks can be subject to the sensing result of Listen-Before-Talk (LBT), such that the UE cannot always expect to receive the SS/PBCH blocks periodically, which challenges the receiver implementation on soft combining. Moreover, due to the uncertainty of channel access from LBT, the delay of initial cell search may be </w:t>
      </w:r>
      <w:r w:rsidRPr="00BF6F15">
        <w:rPr>
          <w:rFonts w:eastAsia="SimSun" w:hint="eastAsia"/>
          <w:lang w:val="en-US" w:eastAsia="zh-CN"/>
        </w:rPr>
        <w:t>enlarged</w:t>
      </w:r>
      <w:r w:rsidRPr="00BF6F15">
        <w:rPr>
          <w:lang w:val="en-US" w:eastAsia="ja-JP"/>
        </w:rPr>
        <w:t xml:space="preserve">, hence, enhancement of the channel access of SS/PBCH block </w:t>
      </w:r>
      <w:r w:rsidRPr="00BF6F15">
        <w:rPr>
          <w:rFonts w:hint="eastAsia"/>
          <w:lang w:val="en-US"/>
        </w:rPr>
        <w:t>(e.g. similar to Rel-13 LTE DRS design)</w:t>
      </w:r>
      <w:r w:rsidRPr="00BF6F15">
        <w:rPr>
          <w:lang w:val="en-US" w:eastAsia="ja-JP"/>
        </w:rPr>
        <w:t xml:space="preserve"> and enhancement of the synchronization signal and/or PBCH</w:t>
      </w:r>
      <w:r w:rsidRPr="00BF6F15">
        <w:rPr>
          <w:rFonts w:hint="eastAsia"/>
          <w:lang w:val="en-US"/>
        </w:rPr>
        <w:t xml:space="preserve"> </w:t>
      </w:r>
      <w:r w:rsidRPr="00BF6F15">
        <w:rPr>
          <w:lang w:val="en-US" w:eastAsia="ja-JP"/>
        </w:rPr>
        <w:t>may need further study in NR-U.</w:t>
      </w:r>
    </w:p>
    <w:p w14:paraId="506049D4" w14:textId="644E0720" w:rsidR="00BF6F15" w:rsidRPr="00BF6F15" w:rsidRDefault="00BF6F15" w:rsidP="00BF6F15">
      <w:pPr>
        <w:spacing w:line="288" w:lineRule="auto"/>
        <w:jc w:val="both"/>
        <w:rPr>
          <w:b/>
          <w:u w:val="single"/>
          <w:lang w:val="en-US" w:eastAsia="ja-JP"/>
        </w:rPr>
      </w:pPr>
      <w:r w:rsidRPr="00BF6F15">
        <w:rPr>
          <w:b/>
          <w:u w:val="single"/>
          <w:lang w:val="en-US" w:eastAsia="ja-JP"/>
        </w:rPr>
        <w:t xml:space="preserve">Proposal </w:t>
      </w:r>
      <w:r>
        <w:rPr>
          <w:b/>
          <w:u w:val="single"/>
          <w:lang w:val="en-US"/>
        </w:rPr>
        <w:t>2</w:t>
      </w:r>
      <w:r w:rsidRPr="00BF6F15">
        <w:rPr>
          <w:b/>
          <w:u w:val="single"/>
          <w:lang w:val="en-US" w:eastAsia="ja-JP"/>
        </w:rPr>
        <w:t>: NR-U shall evaluate the performance of LBT-based transmission of SS/PBCH blocks, and study potential solutions for enhanced synchronization signal and/or PBCH performance if needed.</w:t>
      </w:r>
    </w:p>
    <w:p w14:paraId="68332254" w14:textId="07A9D6E6" w:rsidR="006A3C17" w:rsidRDefault="006A3C17" w:rsidP="006A3C17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 w:rsidRPr="006A3C17">
        <w:rPr>
          <w:lang w:val="en-US" w:eastAsia="ja-JP"/>
        </w:rPr>
        <w:t>Waveform for PUSCH/PUCCH/SRS</w:t>
      </w:r>
      <w:r w:rsidR="00E10154">
        <w:rPr>
          <w:lang w:val="en-US" w:eastAsia="ja-JP"/>
        </w:rPr>
        <w:t>/</w:t>
      </w:r>
      <w:r w:rsidR="00E10154" w:rsidRPr="006A3C17">
        <w:rPr>
          <w:lang w:val="en-US" w:eastAsia="ja-JP"/>
        </w:rPr>
        <w:t>PRACH</w:t>
      </w:r>
    </w:p>
    <w:p w14:paraId="3C1A7A84" w14:textId="77777777" w:rsidR="00D40E36" w:rsidRDefault="00D40E36" w:rsidP="000C65D7">
      <w:pPr>
        <w:spacing w:line="288" w:lineRule="auto"/>
        <w:rPr>
          <w:rFonts w:eastAsia="SimSun"/>
          <w:lang w:eastAsia="zh-CN"/>
        </w:rPr>
      </w:pPr>
      <w:r>
        <w:t>In order to operate NR in unlicensed spectrum, unlicensed spectrum regulations need to be satisfied, such as</w:t>
      </w:r>
      <w:r>
        <w:rPr>
          <w:rFonts w:eastAsia="SimSun" w:hint="eastAsia"/>
          <w:lang w:eastAsia="zh-CN"/>
        </w:rPr>
        <w:t xml:space="preserve"> </w:t>
      </w:r>
      <w:r>
        <w:t>occupied channel bandwidth (OCB) regulation, and power spectral density (PSD) regulation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lang w:eastAsia="zh-CN"/>
        </w:rPr>
        <w:t>addition</w:t>
      </w:r>
      <w:r>
        <w:rPr>
          <w:rFonts w:eastAsia="SimSun" w:hint="eastAsia"/>
          <w:lang w:eastAsia="zh-CN"/>
        </w:rPr>
        <w:t xml:space="preserve"> to LBT. </w:t>
      </w:r>
    </w:p>
    <w:p w14:paraId="5EDAF045" w14:textId="7F7B6B16" w:rsidR="00D40E36" w:rsidRDefault="00D40E36" w:rsidP="000C65D7">
      <w:pPr>
        <w:spacing w:line="288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According to</w:t>
      </w:r>
      <w:r>
        <w:rPr>
          <w:rFonts w:eastAsia="SimSun" w:hint="eastAsia"/>
          <w:lang w:eastAsia="zh-CN"/>
        </w:rPr>
        <w:t xml:space="preserve"> [</w:t>
      </w:r>
      <w:r w:rsidR="005260CB"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], </w:t>
      </w:r>
      <w:r>
        <w:rPr>
          <w:rFonts w:eastAsia="SimSun" w:hint="eastAsia"/>
          <w:lang w:val="en-US" w:eastAsia="zh-CN"/>
        </w:rPr>
        <w:t>t</w:t>
      </w:r>
      <w:r>
        <w:rPr>
          <w:rFonts w:eastAsia="바탕"/>
          <w:lang w:val="en-US"/>
        </w:rPr>
        <w:t xml:space="preserve">he </w:t>
      </w:r>
      <w:r>
        <w:rPr>
          <w:rFonts w:eastAsia="SimSun" w:hint="eastAsia"/>
          <w:lang w:val="en-US" w:eastAsia="zh-CN"/>
        </w:rPr>
        <w:t>OCB</w:t>
      </w:r>
      <w:r>
        <w:rPr>
          <w:rFonts w:eastAsia="바탕"/>
          <w:lang w:val="en-US"/>
        </w:rPr>
        <w:t xml:space="preserve"> is the bandwidth containing 99 % of the power of the signal</w:t>
      </w:r>
      <w:r w:rsidR="003A7B10">
        <w:rPr>
          <w:rFonts w:eastAsia="SimSun"/>
          <w:lang w:val="en-US" w:eastAsia="zh-CN"/>
        </w:rPr>
        <w:t xml:space="preserve">, which </w:t>
      </w:r>
      <w:r>
        <w:rPr>
          <w:rFonts w:eastAsia="SimSun" w:hint="eastAsia"/>
          <w:lang w:val="en-US" w:eastAsia="zh-CN"/>
        </w:rPr>
        <w:t xml:space="preserve">shall be </w:t>
      </w:r>
      <w:r>
        <w:rPr>
          <w:rFonts w:eastAsia="바탕"/>
          <w:lang w:val="en-US"/>
        </w:rPr>
        <w:t>between 70 % and 100 % of the declared Nominal Channel Bandwidth</w:t>
      </w:r>
      <w:r w:rsidR="003A7B10">
        <w:rPr>
          <w:rFonts w:eastAsia="바탕"/>
          <w:lang w:val="en-US"/>
        </w:rPr>
        <w:t xml:space="preserve"> in the 60 GHz unlicensed band, and between 80 % and 100 % of the declared Nominal Channel Bandwidth in the 5 GHz unlicensed band</w:t>
      </w:r>
      <w:r>
        <w:rPr>
          <w:rFonts w:eastAsia="바탕"/>
          <w:lang w:val="en-US"/>
        </w:rPr>
        <w:t>.</w:t>
      </w:r>
    </w:p>
    <w:p w14:paraId="10406A80" w14:textId="72013236" w:rsidR="00D40E36" w:rsidRPr="007E0009" w:rsidRDefault="00D40E36" w:rsidP="000C65D7">
      <w:pPr>
        <w:spacing w:line="288" w:lineRule="auto"/>
        <w:jc w:val="both"/>
        <w:rPr>
          <w:rFonts w:eastAsia="SimSun"/>
          <w:lang w:eastAsia="zh-CN"/>
        </w:rPr>
      </w:pPr>
      <w:r w:rsidRPr="007E0009">
        <w:rPr>
          <w:rFonts w:eastAsia="바탕"/>
          <w:lang w:val="en-US"/>
        </w:rPr>
        <w:t xml:space="preserve">The </w:t>
      </w:r>
      <w:r w:rsidRPr="007E0009">
        <w:rPr>
          <w:rFonts w:eastAsia="SimSun" w:hint="eastAsia"/>
          <w:lang w:val="en-US" w:eastAsia="zh-CN"/>
        </w:rPr>
        <w:t>PSD</w:t>
      </w:r>
      <w:r w:rsidRPr="007E0009">
        <w:rPr>
          <w:rFonts w:eastAsia="바탕"/>
          <w:lang w:val="en-US"/>
        </w:rPr>
        <w:t xml:space="preserve"> is the mean Equivalent </w:t>
      </w:r>
      <w:bookmarkStart w:id="3" w:name="_GoBack"/>
      <w:bookmarkEnd w:id="3"/>
      <w:r w:rsidR="000C65D7" w:rsidRPr="007E0009">
        <w:rPr>
          <w:rFonts w:eastAsia="바탕"/>
          <w:lang w:val="en-US"/>
        </w:rPr>
        <w:t>Isotopically</w:t>
      </w:r>
      <w:r w:rsidRPr="007E0009">
        <w:rPr>
          <w:rFonts w:eastAsia="바탕"/>
          <w:lang w:val="en-US"/>
        </w:rPr>
        <w:t xml:space="preserve"> Radiated Power (EIRP) density in </w:t>
      </w:r>
      <w:proofErr w:type="spellStart"/>
      <w:r w:rsidRPr="007E0009">
        <w:rPr>
          <w:rFonts w:eastAsia="바탕"/>
          <w:lang w:val="en-US"/>
        </w:rPr>
        <w:t>dBm</w:t>
      </w:r>
      <w:proofErr w:type="spellEnd"/>
      <w:r w:rsidRPr="007E0009">
        <w:rPr>
          <w:rFonts w:eastAsia="바탕"/>
          <w:lang w:val="en-US"/>
        </w:rPr>
        <w:t xml:space="preserve"> per Megahertz</w:t>
      </w:r>
      <w:r w:rsidRPr="007E0009">
        <w:rPr>
          <w:rFonts w:eastAsia="SimSun" w:hint="eastAsia"/>
          <w:lang w:val="en-US" w:eastAsia="zh-CN"/>
        </w:rPr>
        <w:t xml:space="preserve"> that is limited by maximum PSD </w:t>
      </w:r>
      <w:r w:rsidRPr="007E0009">
        <w:rPr>
          <w:rFonts w:eastAsia="SimSun"/>
          <w:lang w:val="en-US" w:eastAsia="zh-CN"/>
        </w:rPr>
        <w:t>requirement</w:t>
      </w:r>
      <w:r w:rsidRPr="007E0009">
        <w:rPr>
          <w:rFonts w:eastAsia="SimSun" w:hint="eastAsia"/>
          <w:lang w:val="en-US" w:eastAsia="zh-CN"/>
        </w:rPr>
        <w:t xml:space="preserve"> for certain operation bands, e.g., 10dBm/MHz for </w:t>
      </w:r>
      <w:r w:rsidRPr="00916EC2">
        <w:t>5150-5350 MHz</w:t>
      </w:r>
      <w:r w:rsidRPr="007E0009">
        <w:rPr>
          <w:rFonts w:eastAsia="SimSun" w:hint="eastAsia"/>
          <w:lang w:eastAsia="zh-CN"/>
        </w:rPr>
        <w:t xml:space="preserve"> [</w:t>
      </w:r>
      <w:r w:rsidR="005E1018">
        <w:rPr>
          <w:rFonts w:eastAsia="SimSun"/>
          <w:lang w:eastAsia="zh-CN"/>
        </w:rPr>
        <w:t>2</w:t>
      </w:r>
      <w:r w:rsidRPr="007E0009">
        <w:rPr>
          <w:rFonts w:eastAsia="SimSun" w:hint="eastAsia"/>
          <w:lang w:eastAsia="zh-CN"/>
        </w:rPr>
        <w:t xml:space="preserve">]. At the same time, the maximum total transmission power is also specified. Therefore, the maximum transmission power is restricted by both PSD and total transmission power. </w:t>
      </w:r>
    </w:p>
    <w:p w14:paraId="12426567" w14:textId="77777777" w:rsidR="00D40E36" w:rsidRPr="000C65D7" w:rsidRDefault="00D40E36" w:rsidP="000C65D7">
      <w:pPr>
        <w:spacing w:line="288" w:lineRule="auto"/>
        <w:jc w:val="both"/>
        <w:rPr>
          <w:rFonts w:eastAsia="바탕"/>
          <w:lang w:val="en-US"/>
        </w:rPr>
      </w:pPr>
      <w:r w:rsidRPr="000C65D7">
        <w:rPr>
          <w:rFonts w:eastAsia="바탕" w:hint="eastAsia"/>
          <w:lang w:val="en-US"/>
        </w:rPr>
        <w:t xml:space="preserve">Spreading the signals over the whole bandwidth can meet the regulation requirement. NR supports CP-OFDM for DL transmission and both DFT-based and CP-OFDM for UL transmission. For CP-OFDM PDSCH/PUSCH, by delicate resource allocation type 0, the DL/UL transmission can spread over the bandwidth with proper transmission power by gNB scheduling. For DFT-based PUSCH, only </w:t>
      </w:r>
      <w:r w:rsidRPr="000C65D7">
        <w:rPr>
          <w:rFonts w:eastAsia="바탕"/>
          <w:lang w:val="en-US"/>
        </w:rPr>
        <w:t>contiguous</w:t>
      </w:r>
      <w:r w:rsidRPr="000C65D7">
        <w:rPr>
          <w:rFonts w:eastAsia="바탕" w:hint="eastAsia"/>
          <w:lang w:val="en-US"/>
        </w:rPr>
        <w:t xml:space="preserve"> resource allocation is supported for licensed band. gNB has to allocate the whole bandwidth for a UE to compliant</w:t>
      </w:r>
      <w:r w:rsidRPr="000C65D7">
        <w:rPr>
          <w:rFonts w:eastAsia="바탕"/>
          <w:lang w:val="en-US"/>
        </w:rPr>
        <w:t xml:space="preserve"> </w:t>
      </w:r>
      <w:r w:rsidRPr="000C65D7">
        <w:rPr>
          <w:rFonts w:eastAsia="바탕" w:hint="eastAsia"/>
          <w:lang w:val="en-US"/>
        </w:rPr>
        <w:t xml:space="preserve">the rule. Apparently, the transmission efficiency is poor for UEs with a small amount of traffic </w:t>
      </w:r>
      <w:r w:rsidRPr="000C65D7">
        <w:rPr>
          <w:rFonts w:eastAsia="바탕"/>
          <w:lang w:val="en-US"/>
        </w:rPr>
        <w:t>requiring</w:t>
      </w:r>
      <w:r w:rsidRPr="000C65D7">
        <w:rPr>
          <w:rFonts w:eastAsia="바탕" w:hint="eastAsia"/>
          <w:lang w:val="en-US"/>
        </w:rPr>
        <w:t xml:space="preserve"> a few PRBs and it forbids UE multiplexing in a FDM manner. The same issue </w:t>
      </w:r>
      <w:r w:rsidRPr="000C65D7">
        <w:rPr>
          <w:rFonts w:eastAsia="바탕"/>
          <w:lang w:val="en-US"/>
        </w:rPr>
        <w:t>was extensively</w:t>
      </w:r>
      <w:r w:rsidRPr="000C65D7">
        <w:rPr>
          <w:rFonts w:eastAsia="바탕" w:hint="eastAsia"/>
          <w:lang w:val="en-US"/>
        </w:rPr>
        <w:t xml:space="preserve"> discussed in Rel-14 eLAA, and </w:t>
      </w:r>
      <w:r w:rsidRPr="000C65D7">
        <w:rPr>
          <w:rFonts w:eastAsia="바탕"/>
          <w:lang w:val="en-US"/>
        </w:rPr>
        <w:t>finally</w:t>
      </w:r>
      <w:r w:rsidRPr="000C65D7">
        <w:rPr>
          <w:rFonts w:eastAsia="바탕" w:hint="eastAsia"/>
          <w:lang w:val="en-US"/>
        </w:rPr>
        <w:t xml:space="preserve"> the interlaced resource allocation is introduced. By dividing the </w:t>
      </w:r>
      <w:r w:rsidRPr="000C65D7">
        <w:rPr>
          <w:rFonts w:eastAsia="바탕"/>
          <w:lang w:val="en-US"/>
        </w:rPr>
        <w:t>system</w:t>
      </w:r>
      <w:r w:rsidRPr="000C65D7">
        <w:rPr>
          <w:rFonts w:eastAsia="바탕" w:hint="eastAsia"/>
          <w:lang w:val="en-US"/>
        </w:rPr>
        <w:t xml:space="preserve"> bandwidth into N clusters and assigning at least one PRB in each </w:t>
      </w:r>
      <w:r w:rsidRPr="000C65D7">
        <w:rPr>
          <w:rFonts w:eastAsia="바탕"/>
          <w:lang w:val="en-US"/>
        </w:rPr>
        <w:t>cluster</w:t>
      </w:r>
      <w:r w:rsidRPr="000C65D7">
        <w:rPr>
          <w:rFonts w:eastAsia="바탕" w:hint="eastAsia"/>
          <w:lang w:val="en-US"/>
        </w:rPr>
        <w:t xml:space="preserve"> for a PUSCH </w:t>
      </w:r>
      <w:r w:rsidRPr="000C65D7">
        <w:rPr>
          <w:rFonts w:eastAsia="바탕"/>
          <w:lang w:val="en-US"/>
        </w:rPr>
        <w:t>transmission</w:t>
      </w:r>
      <w:r w:rsidRPr="000C65D7">
        <w:rPr>
          <w:rFonts w:eastAsia="바탕" w:hint="eastAsia"/>
          <w:lang w:val="en-US"/>
        </w:rPr>
        <w:t xml:space="preserve">, the occupied channel is 16.38MHz out of 20MHz (~82%) and the maximum </w:t>
      </w:r>
      <w:r w:rsidRPr="000C65D7">
        <w:rPr>
          <w:rFonts w:eastAsia="바탕"/>
          <w:lang w:val="en-US"/>
        </w:rPr>
        <w:t>transmission</w:t>
      </w:r>
      <w:r w:rsidRPr="000C65D7">
        <w:rPr>
          <w:rFonts w:eastAsia="바탕" w:hint="eastAsia"/>
          <w:lang w:val="en-US"/>
        </w:rPr>
        <w:t xml:space="preserve"> power can be 20 </w:t>
      </w:r>
      <w:proofErr w:type="spellStart"/>
      <w:r w:rsidRPr="000C65D7">
        <w:rPr>
          <w:rFonts w:eastAsia="바탕" w:hint="eastAsia"/>
          <w:lang w:val="en-US"/>
        </w:rPr>
        <w:t>dBm</w:t>
      </w:r>
      <w:proofErr w:type="spellEnd"/>
      <w:r w:rsidRPr="000C65D7">
        <w:rPr>
          <w:rFonts w:eastAsia="바탕" w:hint="eastAsia"/>
          <w:lang w:val="en-US"/>
        </w:rPr>
        <w:t xml:space="preserve"> (10dBm+10log(10)). The same principle of interlaced resource allocation should be extended for NR-U design with </w:t>
      </w:r>
      <w:r w:rsidRPr="000C65D7">
        <w:rPr>
          <w:rFonts w:eastAsia="바탕"/>
          <w:lang w:val="en-US"/>
        </w:rPr>
        <w:t>necessary</w:t>
      </w:r>
      <w:r w:rsidRPr="000C65D7">
        <w:rPr>
          <w:rFonts w:eastAsia="바탕" w:hint="eastAsia"/>
          <w:lang w:val="en-US"/>
        </w:rPr>
        <w:t xml:space="preserve"> </w:t>
      </w:r>
      <w:r w:rsidRPr="000C65D7">
        <w:rPr>
          <w:rFonts w:eastAsia="바탕"/>
          <w:lang w:val="en-US"/>
        </w:rPr>
        <w:t>modification</w:t>
      </w:r>
      <w:r w:rsidRPr="000C65D7">
        <w:rPr>
          <w:rFonts w:eastAsia="바탕" w:hint="eastAsia"/>
          <w:lang w:val="en-US"/>
        </w:rPr>
        <w:t xml:space="preserve"> with NR-specific features. </w:t>
      </w:r>
    </w:p>
    <w:p w14:paraId="1838DD0A" w14:textId="6536BA08" w:rsidR="00D40E36" w:rsidRPr="000C65D7" w:rsidRDefault="00D40E36" w:rsidP="000C65D7">
      <w:pPr>
        <w:spacing w:line="288" w:lineRule="auto"/>
        <w:jc w:val="both"/>
        <w:rPr>
          <w:rFonts w:eastAsia="바탕"/>
          <w:lang w:val="en-US"/>
        </w:rPr>
      </w:pPr>
      <w:r w:rsidRPr="000C65D7">
        <w:rPr>
          <w:rFonts w:eastAsia="바탕" w:hint="eastAsia"/>
          <w:lang w:val="en-US"/>
        </w:rPr>
        <w:t xml:space="preserve">The total number of PRBs per </w:t>
      </w:r>
      <w:r w:rsidRPr="000C65D7">
        <w:rPr>
          <w:rFonts w:eastAsia="바탕"/>
          <w:lang w:val="en-US"/>
        </w:rPr>
        <w:t>bandwidth defined in NR is different from L</w:t>
      </w:r>
      <w:r w:rsidRPr="000C65D7">
        <w:rPr>
          <w:rFonts w:eastAsia="바탕" w:hint="eastAsia"/>
          <w:lang w:val="en-US"/>
        </w:rPr>
        <w:t xml:space="preserve">TE. For </w:t>
      </w:r>
      <w:r w:rsidRPr="000C65D7">
        <w:rPr>
          <w:rFonts w:eastAsia="바탕"/>
          <w:lang w:val="en-US"/>
        </w:rPr>
        <w:t>example</w:t>
      </w:r>
      <w:r w:rsidRPr="000C65D7">
        <w:rPr>
          <w:rFonts w:eastAsia="바탕" w:hint="eastAsia"/>
          <w:lang w:val="en-US"/>
        </w:rPr>
        <w:t xml:space="preserve">, 51 PRBs with </w:t>
      </w:r>
      <w:r w:rsidRPr="000C65D7">
        <w:rPr>
          <w:rFonts w:eastAsia="바탕"/>
          <w:lang w:val="en-US"/>
        </w:rPr>
        <w:t>30 KHz</w:t>
      </w:r>
      <w:r w:rsidRPr="000C65D7">
        <w:rPr>
          <w:rFonts w:eastAsia="바탕" w:hint="eastAsia"/>
          <w:lang w:val="en-US"/>
        </w:rPr>
        <w:t xml:space="preserve"> </w:t>
      </w:r>
      <w:r w:rsidRPr="000C65D7">
        <w:rPr>
          <w:rFonts w:eastAsia="바탕"/>
          <w:lang w:val="en-US"/>
        </w:rPr>
        <w:t>subcarrier spacing</w:t>
      </w:r>
      <w:r w:rsidRPr="000C65D7">
        <w:rPr>
          <w:rFonts w:eastAsia="바탕" w:hint="eastAsia"/>
          <w:lang w:val="en-US"/>
        </w:rPr>
        <w:t xml:space="preserve"> for 20MHz bandwidth and 107 PRBs with 60KHz subcarrier </w:t>
      </w:r>
      <w:r w:rsidRPr="000C65D7">
        <w:rPr>
          <w:rFonts w:eastAsia="바탕"/>
          <w:lang w:val="en-US"/>
        </w:rPr>
        <w:t>spacing</w:t>
      </w:r>
      <w:r w:rsidRPr="000C65D7">
        <w:rPr>
          <w:rFonts w:eastAsia="바탕" w:hint="eastAsia"/>
          <w:lang w:val="en-US"/>
        </w:rPr>
        <w:t xml:space="preserve"> for 80MHz bandwidth for FR1. Direct scaling from LTE 10 PRBs interlace of 20MHz may either lead to unused PRBs at the edge, e.g., the 10th interlace ends at #50 PRB and let the last one PRB unused, or </w:t>
      </w:r>
      <w:r w:rsidRPr="000C65D7">
        <w:rPr>
          <w:rFonts w:eastAsia="바탕"/>
          <w:lang w:val="en-US"/>
        </w:rPr>
        <w:t>unequal</w:t>
      </w:r>
      <w:r w:rsidRPr="000C65D7">
        <w:rPr>
          <w:rFonts w:eastAsia="바탕" w:hint="eastAsia"/>
          <w:lang w:val="en-US"/>
        </w:rPr>
        <w:t xml:space="preserve"> size of each interlace, e.g., 1st interlace consists of 11 PRBs ending at #51 PRB while other 4 interlaces consists of 10PRBs. One common design </w:t>
      </w:r>
      <w:r w:rsidRPr="000C65D7">
        <w:rPr>
          <w:rFonts w:eastAsia="바탕"/>
          <w:lang w:val="en-US"/>
        </w:rPr>
        <w:t>applicable</w:t>
      </w:r>
      <w:r w:rsidRPr="000C65D7">
        <w:rPr>
          <w:rFonts w:eastAsia="바탕" w:hint="eastAsia"/>
          <w:lang w:val="en-US"/>
        </w:rPr>
        <w:t xml:space="preserve"> to all combinations of subcarrier spacing and </w:t>
      </w:r>
      <w:r w:rsidRPr="000C65D7">
        <w:rPr>
          <w:rFonts w:eastAsia="바탕"/>
          <w:lang w:val="en-US"/>
        </w:rPr>
        <w:t>frequency</w:t>
      </w:r>
      <w:r w:rsidRPr="000C65D7">
        <w:rPr>
          <w:rFonts w:eastAsia="바탕" w:hint="eastAsia"/>
          <w:lang w:val="en-US"/>
        </w:rPr>
        <w:t xml:space="preserve"> band is desirable. Besides, with the introduction of UE-specific bandwidth part as well as LBT per bandwidth part </w:t>
      </w:r>
      <w:r w:rsidRPr="000C65D7">
        <w:rPr>
          <w:rFonts w:eastAsia="바탕"/>
          <w:lang w:val="en-US"/>
        </w:rPr>
        <w:t>discussed</w:t>
      </w:r>
      <w:r w:rsidRPr="000C65D7">
        <w:rPr>
          <w:rFonts w:eastAsia="바탕" w:hint="eastAsia"/>
          <w:lang w:val="en-US"/>
        </w:rPr>
        <w:t xml:space="preserve"> in [</w:t>
      </w:r>
      <w:r w:rsidR="005260CB" w:rsidRPr="000C65D7">
        <w:rPr>
          <w:rFonts w:eastAsia="바탕"/>
          <w:lang w:val="en-US"/>
        </w:rPr>
        <w:t>3</w:t>
      </w:r>
      <w:r w:rsidRPr="000C65D7">
        <w:rPr>
          <w:rFonts w:eastAsia="바탕" w:hint="eastAsia"/>
          <w:lang w:val="en-US"/>
        </w:rPr>
        <w:t xml:space="preserve">], it is natural to </w:t>
      </w:r>
      <w:r w:rsidRPr="000C65D7">
        <w:rPr>
          <w:rFonts w:eastAsia="바탕"/>
          <w:lang w:val="en-US"/>
        </w:rPr>
        <w:t>determine</w:t>
      </w:r>
      <w:r w:rsidRPr="000C65D7">
        <w:rPr>
          <w:rFonts w:eastAsia="바탕" w:hint="eastAsia"/>
          <w:lang w:val="en-US"/>
        </w:rPr>
        <w:t xml:space="preserve"> the interlace allocation per bandwidth part, while it is also critical to carefully design the interlace to avoid partial blocking between UEs with different bandwidth. Furthermore, with the increase of </w:t>
      </w:r>
      <w:r w:rsidRPr="000C65D7">
        <w:rPr>
          <w:rFonts w:eastAsia="바탕"/>
          <w:lang w:val="en-US"/>
        </w:rPr>
        <w:t>subcarrier</w:t>
      </w:r>
      <w:r w:rsidRPr="000C65D7">
        <w:rPr>
          <w:rFonts w:eastAsia="바탕" w:hint="eastAsia"/>
          <w:lang w:val="en-US"/>
        </w:rPr>
        <w:t xml:space="preserve"> spacing, the </w:t>
      </w:r>
      <w:r w:rsidRPr="000C65D7">
        <w:rPr>
          <w:rFonts w:eastAsia="바탕"/>
          <w:lang w:val="en-US"/>
        </w:rPr>
        <w:t>transmission</w:t>
      </w:r>
      <w:r w:rsidRPr="000C65D7">
        <w:rPr>
          <w:rFonts w:eastAsia="바탕" w:hint="eastAsia"/>
          <w:lang w:val="en-US"/>
        </w:rPr>
        <w:t xml:space="preserve"> power efficiency would be degraded because the bandwidth of existing </w:t>
      </w:r>
      <w:r w:rsidRPr="000C65D7">
        <w:rPr>
          <w:rFonts w:eastAsia="바탕"/>
          <w:lang w:val="en-US"/>
        </w:rPr>
        <w:t>granularity</w:t>
      </w:r>
      <w:r w:rsidRPr="000C65D7">
        <w:rPr>
          <w:rFonts w:eastAsia="바탕" w:hint="eastAsia"/>
          <w:lang w:val="en-US"/>
        </w:rPr>
        <w:t xml:space="preserve"> of one PRB would exceed the PSD </w:t>
      </w:r>
      <w:r w:rsidRPr="000C65D7">
        <w:rPr>
          <w:rFonts w:eastAsia="바탕"/>
          <w:lang w:val="en-US"/>
        </w:rPr>
        <w:t>granularity</w:t>
      </w:r>
      <w:r w:rsidRPr="000C65D7">
        <w:rPr>
          <w:rFonts w:eastAsia="바탕" w:hint="eastAsia"/>
          <w:lang w:val="en-US"/>
        </w:rPr>
        <w:t xml:space="preserve"> of 1MHz, e.g., one PRB occupies 1.44MHz. Moreover, the </w:t>
      </w:r>
      <w:r w:rsidRPr="000C65D7">
        <w:rPr>
          <w:rFonts w:eastAsia="바탕"/>
          <w:lang w:val="en-US"/>
        </w:rPr>
        <w:t>multiplexing</w:t>
      </w:r>
      <w:r w:rsidRPr="000C65D7">
        <w:rPr>
          <w:rFonts w:eastAsia="바탕" w:hint="eastAsia"/>
          <w:lang w:val="en-US"/>
        </w:rPr>
        <w:t xml:space="preserve"> capacity would be degraded with </w:t>
      </w:r>
      <w:r w:rsidRPr="000C65D7">
        <w:rPr>
          <w:rFonts w:eastAsia="바탕"/>
          <w:lang w:val="en-US"/>
        </w:rPr>
        <w:t>the increase</w:t>
      </w:r>
      <w:r w:rsidRPr="000C65D7">
        <w:rPr>
          <w:rFonts w:eastAsia="바탕" w:hint="eastAsia"/>
          <w:lang w:val="en-US"/>
        </w:rPr>
        <w:t xml:space="preserve"> of </w:t>
      </w:r>
      <w:r w:rsidRPr="000C65D7">
        <w:rPr>
          <w:rFonts w:eastAsia="바탕"/>
          <w:lang w:val="en-US"/>
        </w:rPr>
        <w:t>subcarrier</w:t>
      </w:r>
      <w:r w:rsidRPr="000C65D7">
        <w:rPr>
          <w:rFonts w:eastAsia="바탕" w:hint="eastAsia"/>
          <w:lang w:val="en-US"/>
        </w:rPr>
        <w:t xml:space="preserve"> spacing, if the same </w:t>
      </w:r>
      <w:r w:rsidRPr="000C65D7">
        <w:rPr>
          <w:rFonts w:eastAsia="바탕"/>
          <w:lang w:val="en-US"/>
        </w:rPr>
        <w:t>transmission</w:t>
      </w:r>
      <w:r w:rsidRPr="000C65D7">
        <w:rPr>
          <w:rFonts w:eastAsia="바탕" w:hint="eastAsia"/>
          <w:lang w:val="en-US"/>
        </w:rPr>
        <w:t xml:space="preserve"> power is to be achieved, which is </w:t>
      </w:r>
      <w:r w:rsidRPr="000C65D7">
        <w:rPr>
          <w:rFonts w:eastAsia="바탕"/>
          <w:lang w:val="en-US"/>
        </w:rPr>
        <w:t>determined</w:t>
      </w:r>
      <w:r w:rsidRPr="000C65D7">
        <w:rPr>
          <w:rFonts w:eastAsia="바탕" w:hint="eastAsia"/>
          <w:lang w:val="en-US"/>
        </w:rPr>
        <w:t xml:space="preserve"> by the number of PRBs per interlace that  also in turn </w:t>
      </w:r>
      <w:r w:rsidRPr="000C65D7">
        <w:rPr>
          <w:rFonts w:eastAsia="바탕"/>
          <w:lang w:val="en-US"/>
        </w:rPr>
        <w:t>determines</w:t>
      </w:r>
      <w:r w:rsidRPr="000C65D7">
        <w:rPr>
          <w:rFonts w:eastAsia="바탕" w:hint="eastAsia"/>
          <w:lang w:val="en-US"/>
        </w:rPr>
        <w:t xml:space="preserve"> the </w:t>
      </w:r>
      <w:r w:rsidRPr="000C65D7">
        <w:rPr>
          <w:rFonts w:eastAsia="바탕"/>
          <w:lang w:val="en-US"/>
        </w:rPr>
        <w:t>number</w:t>
      </w:r>
      <w:r w:rsidRPr="000C65D7">
        <w:rPr>
          <w:rFonts w:eastAsia="바탕" w:hint="eastAsia"/>
          <w:lang w:val="en-US"/>
        </w:rPr>
        <w:t xml:space="preserve"> of interlaces within a given bandwidth. The </w:t>
      </w:r>
      <w:r w:rsidRPr="000C65D7">
        <w:rPr>
          <w:rFonts w:eastAsia="바탕"/>
          <w:lang w:val="en-US"/>
        </w:rPr>
        <w:t>impact</w:t>
      </w:r>
      <w:r w:rsidRPr="000C65D7">
        <w:rPr>
          <w:rFonts w:eastAsia="바탕" w:hint="eastAsia"/>
          <w:lang w:val="en-US"/>
        </w:rPr>
        <w:t xml:space="preserve"> needs </w:t>
      </w:r>
      <w:r w:rsidRPr="000C65D7">
        <w:rPr>
          <w:rFonts w:eastAsia="바탕"/>
          <w:lang w:val="en-US"/>
        </w:rPr>
        <w:t>further</w:t>
      </w:r>
      <w:r w:rsidRPr="000C65D7">
        <w:rPr>
          <w:rFonts w:eastAsia="바탕" w:hint="eastAsia"/>
          <w:lang w:val="en-US"/>
        </w:rPr>
        <w:t xml:space="preserve"> investigation and </w:t>
      </w:r>
      <w:r w:rsidRPr="000C65D7">
        <w:rPr>
          <w:rFonts w:eastAsia="바탕"/>
          <w:lang w:val="en-US"/>
        </w:rPr>
        <w:t>determines</w:t>
      </w:r>
      <w:r w:rsidRPr="000C65D7">
        <w:rPr>
          <w:rFonts w:eastAsia="바탕" w:hint="eastAsia"/>
          <w:lang w:val="en-US"/>
        </w:rPr>
        <w:t xml:space="preserve"> any </w:t>
      </w:r>
      <w:r w:rsidRPr="000C65D7">
        <w:rPr>
          <w:rFonts w:eastAsia="바탕"/>
          <w:lang w:val="en-US"/>
        </w:rPr>
        <w:t>necessary</w:t>
      </w:r>
      <w:r w:rsidRPr="000C65D7">
        <w:rPr>
          <w:rFonts w:eastAsia="바탕" w:hint="eastAsia"/>
          <w:lang w:val="en-US"/>
        </w:rPr>
        <w:t xml:space="preserve"> </w:t>
      </w:r>
      <w:r w:rsidRPr="000C65D7">
        <w:rPr>
          <w:rFonts w:eastAsia="바탕"/>
          <w:lang w:val="en-US"/>
        </w:rPr>
        <w:t>enhancement</w:t>
      </w:r>
      <w:r w:rsidRPr="000C65D7">
        <w:rPr>
          <w:rFonts w:eastAsia="바탕" w:hint="eastAsia"/>
          <w:lang w:val="en-US"/>
        </w:rPr>
        <w:t xml:space="preserve">. </w:t>
      </w:r>
    </w:p>
    <w:p w14:paraId="58847A16" w14:textId="77777777" w:rsidR="00D40E36" w:rsidRPr="000C65D7" w:rsidRDefault="00D40E36" w:rsidP="000C65D7">
      <w:pPr>
        <w:spacing w:line="288" w:lineRule="auto"/>
        <w:jc w:val="both"/>
        <w:rPr>
          <w:rFonts w:eastAsia="바탕"/>
          <w:lang w:val="en-US"/>
        </w:rPr>
      </w:pPr>
      <w:r w:rsidRPr="000C65D7">
        <w:rPr>
          <w:rFonts w:eastAsia="바탕" w:hint="eastAsia"/>
          <w:lang w:val="en-US"/>
        </w:rPr>
        <w:t xml:space="preserve">Regarding PUCCH, similar as PUSCH waveform discussed above, it would be easier to meet the requirement by scattering RBs </w:t>
      </w:r>
      <w:r w:rsidRPr="000C65D7">
        <w:rPr>
          <w:rFonts w:eastAsia="바탕"/>
          <w:lang w:val="en-US"/>
        </w:rPr>
        <w:t>over</w:t>
      </w:r>
      <w:r w:rsidRPr="000C65D7">
        <w:rPr>
          <w:rFonts w:eastAsia="바탕" w:hint="eastAsia"/>
          <w:lang w:val="en-US"/>
        </w:rPr>
        <w:t xml:space="preserve"> the whole bandwidth by proper resource allocation for CP-OFDM based </w:t>
      </w:r>
      <w:r w:rsidRPr="000C65D7">
        <w:rPr>
          <w:rFonts w:eastAsia="바탕"/>
          <w:lang w:val="en-US"/>
        </w:rPr>
        <w:t>multiple</w:t>
      </w:r>
      <w:r w:rsidRPr="000C65D7">
        <w:rPr>
          <w:rFonts w:eastAsia="바탕" w:hint="eastAsia"/>
          <w:lang w:val="en-US"/>
        </w:rPr>
        <w:t xml:space="preserve"> RBs PUCCH, such as PUCCH format 2, while interlaced waveform can be easily </w:t>
      </w:r>
      <w:r w:rsidRPr="000C65D7">
        <w:rPr>
          <w:rFonts w:eastAsia="바탕"/>
          <w:lang w:val="en-US"/>
        </w:rPr>
        <w:t>implemented</w:t>
      </w:r>
      <w:r w:rsidRPr="000C65D7">
        <w:rPr>
          <w:rFonts w:eastAsia="바탕" w:hint="eastAsia"/>
          <w:lang w:val="en-US"/>
        </w:rPr>
        <w:t xml:space="preserve"> for </w:t>
      </w:r>
      <w:r w:rsidRPr="000C65D7">
        <w:rPr>
          <w:rFonts w:eastAsia="바탕"/>
          <w:lang w:val="en-US"/>
        </w:rPr>
        <w:t>multiple</w:t>
      </w:r>
      <w:r w:rsidRPr="000C65D7">
        <w:rPr>
          <w:rFonts w:eastAsia="바탕" w:hint="eastAsia"/>
          <w:lang w:val="en-US"/>
        </w:rPr>
        <w:t xml:space="preserve"> RBs </w:t>
      </w:r>
      <w:r w:rsidRPr="000C65D7">
        <w:rPr>
          <w:rFonts w:eastAsia="바탕"/>
          <w:lang w:val="en-US"/>
        </w:rPr>
        <w:t xml:space="preserve">PUCCH with DFT. </w:t>
      </w:r>
      <w:r w:rsidRPr="000C65D7">
        <w:rPr>
          <w:rFonts w:eastAsia="바탕" w:hint="eastAsia"/>
          <w:lang w:val="en-US"/>
        </w:rPr>
        <w:t xml:space="preserve">As for </w:t>
      </w:r>
      <w:r w:rsidRPr="000C65D7">
        <w:rPr>
          <w:rFonts w:eastAsia="바탕" w:hint="eastAsia"/>
          <w:lang w:val="en-US"/>
        </w:rPr>
        <w:lastRenderedPageBreak/>
        <w:t xml:space="preserve">single RB short PUCCH, i.e. PUCCH format 0, it is not clear whether existing PUCCH </w:t>
      </w:r>
      <w:r w:rsidRPr="000C65D7">
        <w:rPr>
          <w:rFonts w:eastAsia="바탕"/>
          <w:lang w:val="en-US"/>
        </w:rPr>
        <w:t>structure</w:t>
      </w:r>
      <w:r w:rsidRPr="000C65D7">
        <w:rPr>
          <w:rFonts w:eastAsia="바탕" w:hint="eastAsia"/>
          <w:lang w:val="en-US"/>
        </w:rPr>
        <w:t xml:space="preserve"> could </w:t>
      </w:r>
      <w:r w:rsidRPr="000C65D7">
        <w:rPr>
          <w:rFonts w:eastAsia="바탕"/>
          <w:lang w:val="en-US"/>
        </w:rPr>
        <w:t>fulfil</w:t>
      </w:r>
      <w:r w:rsidRPr="000C65D7">
        <w:rPr>
          <w:rFonts w:eastAsia="바탕" w:hint="eastAsia"/>
          <w:lang w:val="en-US"/>
        </w:rPr>
        <w:t xml:space="preserve"> the OCB requirement which may be </w:t>
      </w:r>
      <w:r w:rsidRPr="000C65D7">
        <w:rPr>
          <w:rFonts w:eastAsia="바탕"/>
          <w:lang w:val="en-US"/>
        </w:rPr>
        <w:t>observ</w:t>
      </w:r>
      <w:r w:rsidRPr="000C65D7">
        <w:rPr>
          <w:rFonts w:eastAsia="바탕" w:hint="eastAsia"/>
          <w:lang w:val="en-US"/>
        </w:rPr>
        <w:t xml:space="preserve">ed over many symbols, e.g., more than 1 second that can be interpreted as the impact of a short instance transmission is </w:t>
      </w:r>
      <w:r w:rsidRPr="000C65D7">
        <w:rPr>
          <w:rFonts w:eastAsia="바탕"/>
          <w:lang w:val="en-US"/>
        </w:rPr>
        <w:t>ignorable</w:t>
      </w:r>
      <w:r w:rsidRPr="000C65D7">
        <w:rPr>
          <w:rFonts w:eastAsia="바탕" w:hint="eastAsia"/>
          <w:lang w:val="en-US"/>
        </w:rPr>
        <w:t xml:space="preserve"> as long as the UL frequency resources on </w:t>
      </w:r>
      <w:r w:rsidRPr="000C65D7">
        <w:rPr>
          <w:rFonts w:eastAsia="바탕"/>
          <w:lang w:val="en-US"/>
        </w:rPr>
        <w:t>average</w:t>
      </w:r>
      <w:r w:rsidRPr="000C65D7">
        <w:rPr>
          <w:rFonts w:eastAsia="바탕" w:hint="eastAsia"/>
          <w:lang w:val="en-US"/>
        </w:rPr>
        <w:t xml:space="preserve"> can meet the OCB requirement, or frequency hopping over the edge of bandwidth is allowable if the test is to average over the whole 1ms.  </w:t>
      </w:r>
    </w:p>
    <w:p w14:paraId="6D4C7355" w14:textId="77777777" w:rsidR="00D40E36" w:rsidRPr="000C65D7" w:rsidRDefault="00D40E36" w:rsidP="000C65D7">
      <w:pPr>
        <w:spacing w:line="288" w:lineRule="auto"/>
        <w:jc w:val="both"/>
        <w:rPr>
          <w:rFonts w:eastAsia="바탕"/>
          <w:lang w:val="en-US"/>
        </w:rPr>
      </w:pPr>
      <w:r w:rsidRPr="000C65D7">
        <w:rPr>
          <w:rFonts w:eastAsia="바탕" w:hint="eastAsia"/>
          <w:lang w:val="en-US"/>
        </w:rPr>
        <w:t xml:space="preserve">For SRS, the existing waveform can be directly reused if the configured bandwidth of SRS meets OCB </w:t>
      </w:r>
      <w:r w:rsidRPr="000C65D7">
        <w:rPr>
          <w:rFonts w:eastAsia="바탕"/>
          <w:lang w:val="en-US"/>
        </w:rPr>
        <w:t>requirement</w:t>
      </w:r>
      <w:r w:rsidRPr="000C65D7">
        <w:rPr>
          <w:rFonts w:eastAsia="바탕" w:hint="eastAsia"/>
          <w:lang w:val="en-US"/>
        </w:rPr>
        <w:t xml:space="preserve">. In </w:t>
      </w:r>
      <w:r w:rsidRPr="000C65D7">
        <w:rPr>
          <w:rFonts w:eastAsia="바탕"/>
          <w:lang w:val="en-US"/>
        </w:rPr>
        <w:t>addition</w:t>
      </w:r>
      <w:r w:rsidRPr="000C65D7">
        <w:rPr>
          <w:rFonts w:eastAsia="바탕" w:hint="eastAsia"/>
          <w:lang w:val="en-US"/>
        </w:rPr>
        <w:t xml:space="preserve">, more flexible RS transmission location may also need to be </w:t>
      </w:r>
      <w:r w:rsidRPr="000C65D7">
        <w:rPr>
          <w:rFonts w:eastAsia="바탕"/>
          <w:lang w:val="en-US"/>
        </w:rPr>
        <w:t>considered</w:t>
      </w:r>
      <w:r w:rsidRPr="000C65D7">
        <w:rPr>
          <w:rFonts w:eastAsia="바탕" w:hint="eastAsia"/>
          <w:lang w:val="en-US"/>
        </w:rPr>
        <w:t xml:space="preserve">. NR supports SRS transmission over more than one </w:t>
      </w:r>
      <w:r w:rsidRPr="000C65D7">
        <w:rPr>
          <w:rFonts w:eastAsia="바탕"/>
          <w:lang w:val="en-US"/>
        </w:rPr>
        <w:t>symbol</w:t>
      </w:r>
      <w:r w:rsidRPr="000C65D7">
        <w:rPr>
          <w:rFonts w:eastAsia="바탕" w:hint="eastAsia"/>
          <w:lang w:val="en-US"/>
        </w:rPr>
        <w:t xml:space="preserve"> at the end of a slot, i.e., within the last 6 symbols of the slot. </w:t>
      </w:r>
      <w:r w:rsidRPr="000C65D7">
        <w:rPr>
          <w:rFonts w:eastAsia="바탕"/>
          <w:lang w:val="en-US"/>
        </w:rPr>
        <w:t>When PUSCH and SRS are transmitted in the same slot, the UE may be configured to transmit SRS after the transmission of the PUSCH and the corresponding DM-RS.</w:t>
      </w:r>
      <w:r w:rsidRPr="000C65D7">
        <w:rPr>
          <w:rFonts w:eastAsia="바탕" w:hint="eastAsia"/>
          <w:lang w:val="en-US"/>
        </w:rPr>
        <w:t xml:space="preserve"> On unlicensed band, </w:t>
      </w:r>
      <w:r w:rsidRPr="000C65D7">
        <w:rPr>
          <w:rFonts w:eastAsia="바탕"/>
          <w:lang w:val="en-US"/>
        </w:rPr>
        <w:t xml:space="preserve">the restriction </w:t>
      </w:r>
      <w:r w:rsidRPr="000C65D7">
        <w:rPr>
          <w:rFonts w:eastAsia="바탕" w:hint="eastAsia"/>
          <w:lang w:val="en-US"/>
        </w:rPr>
        <w:t xml:space="preserve">of SRS location may not be desirable with the </w:t>
      </w:r>
      <w:r w:rsidRPr="000C65D7">
        <w:rPr>
          <w:rFonts w:eastAsia="바탕"/>
          <w:lang w:val="en-US"/>
        </w:rPr>
        <w:t>consideration</w:t>
      </w:r>
      <w:r w:rsidRPr="000C65D7">
        <w:rPr>
          <w:rFonts w:eastAsia="바탕" w:hint="eastAsia"/>
          <w:lang w:val="en-US"/>
        </w:rPr>
        <w:t xml:space="preserve"> of LBT impact. For </w:t>
      </w:r>
      <w:r w:rsidRPr="000C65D7">
        <w:rPr>
          <w:rFonts w:eastAsia="바탕"/>
          <w:lang w:val="en-US"/>
        </w:rPr>
        <w:t>example</w:t>
      </w:r>
      <w:r w:rsidRPr="000C65D7">
        <w:rPr>
          <w:rFonts w:eastAsia="바탕" w:hint="eastAsia"/>
          <w:lang w:val="en-US"/>
        </w:rPr>
        <w:t xml:space="preserve">, there could be a gap between PUSCH and SRS </w:t>
      </w:r>
      <w:r w:rsidRPr="000C65D7">
        <w:rPr>
          <w:rFonts w:eastAsia="바탕"/>
          <w:lang w:val="en-US"/>
        </w:rPr>
        <w:t>transmitted</w:t>
      </w:r>
      <w:r w:rsidRPr="000C65D7">
        <w:rPr>
          <w:rFonts w:eastAsia="바탕" w:hint="eastAsia"/>
          <w:lang w:val="en-US"/>
        </w:rPr>
        <w:t xml:space="preserve"> by the same UE in which UE may lose the channel.  </w:t>
      </w:r>
    </w:p>
    <w:p w14:paraId="048832F6" w14:textId="3FC215FE" w:rsidR="00563739" w:rsidRPr="000C65D7" w:rsidRDefault="00563739" w:rsidP="000C65D7">
      <w:pPr>
        <w:spacing w:line="288" w:lineRule="auto"/>
        <w:jc w:val="both"/>
        <w:rPr>
          <w:rFonts w:eastAsia="바탕"/>
          <w:lang w:val="en-US"/>
        </w:rPr>
      </w:pPr>
      <w:r w:rsidRPr="000C65D7">
        <w:rPr>
          <w:rFonts w:eastAsia="바탕"/>
          <w:lang w:val="en-US"/>
        </w:rPr>
        <w:t>The PRACH waveform for NR-U also needs enhancements to satisfy the OCB regulation, such that the PRACH occasions can span at least 80% or 70% of the nominal bandwidth in the 5 GHz and 60 GHz unlicensed band respectively. Similar to PUSCH/PUCCH, the NR-U PRACH transmission waveform can be constructed through proper resource allocation in the frequency domain to meet the OCB regulation. In addition, the performance of the corresponding NR-U PRACH waveform design needs to be evaluated, such as the PRACH preamble detection and the PAPR performance.</w:t>
      </w:r>
    </w:p>
    <w:p w14:paraId="53C112D2" w14:textId="77777777" w:rsidR="00D40E36" w:rsidRPr="000C65D7" w:rsidRDefault="00D40E36" w:rsidP="000C65D7">
      <w:pPr>
        <w:spacing w:line="288" w:lineRule="auto"/>
        <w:jc w:val="both"/>
        <w:rPr>
          <w:rFonts w:eastAsia="바탕"/>
          <w:lang w:val="en-US"/>
        </w:rPr>
      </w:pPr>
      <w:r w:rsidRPr="000C65D7">
        <w:rPr>
          <w:rFonts w:eastAsia="바탕" w:hint="eastAsia"/>
          <w:lang w:val="en-US"/>
        </w:rPr>
        <w:t xml:space="preserve">Moreover, interlace design should also take the efficient multiplexing between UL channels with different subcarrier spacing or different number of PRBs into account.  </w:t>
      </w:r>
    </w:p>
    <w:p w14:paraId="04CA473F" w14:textId="7F8BAE67" w:rsidR="005260CB" w:rsidRPr="000C65D7" w:rsidRDefault="000A3940" w:rsidP="000C65D7">
      <w:pPr>
        <w:spacing w:line="288" w:lineRule="auto"/>
        <w:jc w:val="both"/>
        <w:rPr>
          <w:rFonts w:eastAsia="바탕"/>
          <w:b/>
          <w:u w:val="single"/>
          <w:lang w:val="en-US"/>
        </w:rPr>
      </w:pPr>
      <w:r w:rsidRPr="000C65D7">
        <w:rPr>
          <w:rFonts w:eastAsia="바탕"/>
          <w:b/>
          <w:u w:val="single"/>
          <w:lang w:val="en-US"/>
        </w:rPr>
        <w:t xml:space="preserve">Proposal </w:t>
      </w:r>
      <w:r w:rsidR="004E07A7" w:rsidRPr="000C65D7">
        <w:rPr>
          <w:rFonts w:eastAsia="바탕"/>
          <w:b/>
          <w:u w:val="single"/>
          <w:lang w:val="en-US"/>
        </w:rPr>
        <w:t>3</w:t>
      </w:r>
      <w:r w:rsidRPr="000C65D7">
        <w:rPr>
          <w:rFonts w:eastAsia="바탕"/>
          <w:b/>
          <w:u w:val="single"/>
          <w:lang w:val="en-US"/>
        </w:rPr>
        <w:t>:</w:t>
      </w:r>
      <w:r w:rsidR="005260CB" w:rsidRPr="000C65D7">
        <w:rPr>
          <w:rFonts w:eastAsia="바탕"/>
          <w:b/>
          <w:u w:val="single"/>
          <w:lang w:val="en-US"/>
        </w:rPr>
        <w:t xml:space="preserve"> NR-U shall study the interlaced resource allocation at least for PUSCH/PUCCH/PRACH to meet the OCB requirement</w:t>
      </w:r>
      <w:r w:rsidR="004E07A7" w:rsidRPr="000C65D7">
        <w:rPr>
          <w:rFonts w:eastAsia="바탕" w:hint="eastAsia"/>
          <w:b/>
          <w:u w:val="single"/>
          <w:lang w:val="en-US"/>
        </w:rPr>
        <w:t>.</w:t>
      </w:r>
    </w:p>
    <w:p w14:paraId="32247C2B" w14:textId="7DCD1F79" w:rsidR="0072612A" w:rsidRPr="0072612A" w:rsidRDefault="0072612A" w:rsidP="0072612A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 w:rsidRPr="0072612A">
        <w:rPr>
          <w:lang w:val="en-US" w:eastAsia="ja-JP"/>
        </w:rPr>
        <w:t xml:space="preserve">HARQ-ACK Feedback </w:t>
      </w:r>
    </w:p>
    <w:p w14:paraId="41F36460" w14:textId="1D022679" w:rsidR="0072612A" w:rsidRPr="00E574E8" w:rsidRDefault="00C55800" w:rsidP="00B51FAB">
      <w:pPr>
        <w:spacing w:line="288" w:lineRule="auto"/>
        <w:jc w:val="both"/>
      </w:pPr>
      <w:r w:rsidRPr="00E574E8">
        <w:rPr>
          <w:lang w:val="en-US"/>
        </w:rPr>
        <w:t xml:space="preserve">In order to operate NR in unlicensed spectrum without assistance from licensed carrier, transmission of HARQ-ACK </w:t>
      </w:r>
      <w:r w:rsidR="00E113D6" w:rsidRPr="00E574E8">
        <w:rPr>
          <w:lang w:val="en-US"/>
        </w:rPr>
        <w:t>via PUCCH on</w:t>
      </w:r>
      <w:r w:rsidRPr="00E574E8">
        <w:rPr>
          <w:lang w:val="en-US"/>
        </w:rPr>
        <w:t xml:space="preserve"> unlicensed spectrum </w:t>
      </w:r>
      <w:r w:rsidR="004000DA" w:rsidRPr="00E574E8">
        <w:rPr>
          <w:lang w:val="en-US"/>
        </w:rPr>
        <w:t>would be necessary. However, the HACK-ACK may not be transmitted</w:t>
      </w:r>
      <w:r w:rsidR="00E113D6" w:rsidRPr="00E574E8">
        <w:rPr>
          <w:lang w:val="en-US"/>
        </w:rPr>
        <w:t xml:space="preserve"> on time</w:t>
      </w:r>
      <w:r w:rsidR="004000DA" w:rsidRPr="00E574E8">
        <w:rPr>
          <w:lang w:val="en-US"/>
        </w:rPr>
        <w:t xml:space="preserve"> (or dropped) due to failure of LBT, the latency of HARQ-ACK transmission on unlicensed spectrum cannot be guaranteed</w:t>
      </w:r>
      <w:r w:rsidR="00E113D6" w:rsidRPr="00E574E8">
        <w:rPr>
          <w:lang w:val="en-US"/>
        </w:rPr>
        <w:t xml:space="preserve">, </w:t>
      </w:r>
      <w:r w:rsidR="004000DA" w:rsidRPr="00E574E8">
        <w:rPr>
          <w:lang w:val="en-US"/>
        </w:rPr>
        <w:t xml:space="preserve">which could be a bottleneck of NR-U performance. </w:t>
      </w:r>
      <w:r w:rsidR="00E113D6" w:rsidRPr="00E574E8">
        <w:rPr>
          <w:lang w:val="en-US"/>
        </w:rPr>
        <w:t>More specifically</w:t>
      </w:r>
      <w:r w:rsidR="004000DA" w:rsidRPr="00E574E8">
        <w:rPr>
          <w:lang w:val="en-US"/>
        </w:rPr>
        <w:t xml:space="preserve">, </w:t>
      </w:r>
      <w:r w:rsidR="0087204B" w:rsidRPr="00E574E8">
        <w:rPr>
          <w:lang w:val="en-US"/>
        </w:rPr>
        <w:t xml:space="preserve">a channel access procedure especially for contention window size is </w:t>
      </w:r>
      <w:r w:rsidR="00E113D6" w:rsidRPr="00E574E8">
        <w:rPr>
          <w:lang w:val="en-US"/>
        </w:rPr>
        <w:t xml:space="preserve">generally </w:t>
      </w:r>
      <w:r w:rsidR="0087204B" w:rsidRPr="00E574E8">
        <w:rPr>
          <w:lang w:val="en-US"/>
        </w:rPr>
        <w:t xml:space="preserve">adapted according to </w:t>
      </w:r>
      <w:r w:rsidR="00E113D6" w:rsidRPr="00E574E8">
        <w:rPr>
          <w:lang w:val="en-US"/>
        </w:rPr>
        <w:t xml:space="preserve">available </w:t>
      </w:r>
      <w:r w:rsidR="0087204B" w:rsidRPr="00E574E8">
        <w:rPr>
          <w:lang w:val="en-US"/>
        </w:rPr>
        <w:t>HARQ-ACK feedback on the reference slot</w:t>
      </w:r>
      <w:r w:rsidR="00E113D6" w:rsidRPr="00E574E8">
        <w:rPr>
          <w:lang w:val="en-US"/>
        </w:rPr>
        <w:t xml:space="preserve"> </w:t>
      </w:r>
      <w:r w:rsidR="0087204B" w:rsidRPr="00E574E8">
        <w:rPr>
          <w:lang w:val="en-US"/>
        </w:rPr>
        <w:t xml:space="preserve">defined for contention window size update. </w:t>
      </w:r>
      <w:r w:rsidR="00E113D6" w:rsidRPr="00E574E8">
        <w:rPr>
          <w:lang w:val="en-US"/>
        </w:rPr>
        <w:t xml:space="preserve">It is noted that the reference subframe for LTE-LAA downlink is defined as the starting subframe of the most recent transmission on the carrier made by the </w:t>
      </w:r>
      <w:proofErr w:type="spellStart"/>
      <w:r w:rsidR="00E113D6" w:rsidRPr="00E574E8">
        <w:rPr>
          <w:lang w:val="en-US"/>
        </w:rPr>
        <w:t>eNB</w:t>
      </w:r>
      <w:proofErr w:type="spellEnd"/>
      <w:r w:rsidR="00E113D6" w:rsidRPr="00E574E8">
        <w:rPr>
          <w:lang w:val="en-US"/>
        </w:rPr>
        <w:t xml:space="preserve">, for which at least some HARQ-ACK feedback is expected to be available. </w:t>
      </w:r>
      <w:r w:rsidR="0087204B" w:rsidRPr="00E574E8">
        <w:rPr>
          <w:lang w:val="en-US"/>
        </w:rPr>
        <w:t>If the HARQ-ACK for the reference slot is not available at the gNB/UE</w:t>
      </w:r>
      <w:r w:rsidR="00C245BC" w:rsidRPr="00E574E8">
        <w:rPr>
          <w:lang w:val="en-US"/>
        </w:rPr>
        <w:t xml:space="preserve"> before accessing the channel</w:t>
      </w:r>
      <w:r w:rsidR="0087204B" w:rsidRPr="00E574E8">
        <w:rPr>
          <w:lang w:val="en-US"/>
        </w:rPr>
        <w:t xml:space="preserve">, the contention window size </w:t>
      </w:r>
      <w:r w:rsidR="00E113D6" w:rsidRPr="00E574E8">
        <w:rPr>
          <w:lang w:val="en-US"/>
        </w:rPr>
        <w:t>should</w:t>
      </w:r>
      <w:r w:rsidR="00C245BC" w:rsidRPr="00E574E8">
        <w:rPr>
          <w:lang w:val="en-US"/>
        </w:rPr>
        <w:t xml:space="preserve"> be </w:t>
      </w:r>
      <w:r w:rsidR="0087204B" w:rsidRPr="00E574E8">
        <w:rPr>
          <w:lang w:val="en-US"/>
        </w:rPr>
        <w:t>doubled</w:t>
      </w:r>
      <w:r w:rsidR="00C245BC" w:rsidRPr="00E574E8">
        <w:rPr>
          <w:lang w:val="en-US"/>
        </w:rPr>
        <w:t xml:space="preserve">, which results in reduced </w:t>
      </w:r>
      <w:r w:rsidR="0087204B" w:rsidRPr="00E574E8">
        <w:rPr>
          <w:lang w:val="en-US"/>
        </w:rPr>
        <w:t xml:space="preserve">channel access probability unnecessarily. Furthermore, </w:t>
      </w:r>
      <w:r w:rsidR="00E113D6" w:rsidRPr="00E574E8">
        <w:rPr>
          <w:lang w:val="en-US"/>
        </w:rPr>
        <w:t>HARQ-ACK</w:t>
      </w:r>
      <w:r w:rsidR="00223986" w:rsidRPr="00E574E8">
        <w:rPr>
          <w:lang w:val="en-US"/>
        </w:rPr>
        <w:t xml:space="preserve"> feedback information</w:t>
      </w:r>
      <w:r w:rsidR="00E113D6" w:rsidRPr="00E574E8">
        <w:rPr>
          <w:lang w:val="en-US"/>
        </w:rPr>
        <w:t xml:space="preserve"> for </w:t>
      </w:r>
      <w:r w:rsidR="00223986" w:rsidRPr="00E574E8">
        <w:rPr>
          <w:lang w:val="en-US"/>
        </w:rPr>
        <w:t>uplink data transmission</w:t>
      </w:r>
      <w:r w:rsidR="00E113D6" w:rsidRPr="00E574E8">
        <w:rPr>
          <w:lang w:val="en-US"/>
        </w:rPr>
        <w:t xml:space="preserve"> is </w:t>
      </w:r>
      <w:r w:rsidR="00E574E8">
        <w:rPr>
          <w:lang w:val="en-US"/>
        </w:rPr>
        <w:t>informed</w:t>
      </w:r>
      <w:r w:rsidR="00E113D6" w:rsidRPr="00E574E8">
        <w:rPr>
          <w:lang w:val="en-US"/>
        </w:rPr>
        <w:t xml:space="preserve"> by NDI in </w:t>
      </w:r>
      <w:r w:rsidR="00223986" w:rsidRPr="00E574E8">
        <w:rPr>
          <w:lang w:val="en-US"/>
        </w:rPr>
        <w:t xml:space="preserve">a </w:t>
      </w:r>
      <w:r w:rsidR="00E113D6" w:rsidRPr="00E574E8">
        <w:rPr>
          <w:lang w:val="en-US"/>
        </w:rPr>
        <w:t xml:space="preserve">UL grant, </w:t>
      </w:r>
      <w:r w:rsidR="00B51FAB">
        <w:rPr>
          <w:lang w:val="en-US"/>
        </w:rPr>
        <w:t xml:space="preserve">additional </w:t>
      </w:r>
      <w:r w:rsidR="00223986" w:rsidRPr="00E574E8">
        <w:rPr>
          <w:lang w:val="en-US"/>
        </w:rPr>
        <w:t xml:space="preserve">UL grant transmission </w:t>
      </w:r>
      <w:r w:rsidR="00B51FAB">
        <w:rPr>
          <w:lang w:val="en-US"/>
        </w:rPr>
        <w:t>would</w:t>
      </w:r>
      <w:r w:rsidR="00223986" w:rsidRPr="00E574E8">
        <w:rPr>
          <w:lang w:val="en-US"/>
        </w:rPr>
        <w:t xml:space="preserve"> be required to indicate acknowledgement for </w:t>
      </w:r>
      <w:r w:rsidR="00B51FAB">
        <w:rPr>
          <w:lang w:val="en-US"/>
        </w:rPr>
        <w:t xml:space="preserve">a </w:t>
      </w:r>
      <w:r w:rsidR="00E574E8">
        <w:rPr>
          <w:lang w:val="en-US"/>
        </w:rPr>
        <w:t xml:space="preserve">corresponding </w:t>
      </w:r>
      <w:r w:rsidR="00223986" w:rsidRPr="00E574E8">
        <w:rPr>
          <w:lang w:val="en-US"/>
        </w:rPr>
        <w:t>uplink transmissions</w:t>
      </w:r>
      <w:r w:rsidR="00B51FAB">
        <w:rPr>
          <w:lang w:val="en-US"/>
        </w:rPr>
        <w:t xml:space="preserve">. If multiple HARQ processes are activated, signaling overhead for HARQ-ACK feedback may not be negligible. </w:t>
      </w:r>
      <w:r w:rsidR="00223986" w:rsidRPr="00E574E8">
        <w:rPr>
          <w:lang w:val="en-US"/>
        </w:rPr>
        <w:t xml:space="preserve">Therefore, it is </w:t>
      </w:r>
      <w:r w:rsidR="00B51FAB">
        <w:rPr>
          <w:lang w:val="en-US"/>
        </w:rPr>
        <w:t xml:space="preserve">beneficial </w:t>
      </w:r>
      <w:r w:rsidR="00223986" w:rsidRPr="00E574E8">
        <w:rPr>
          <w:lang w:val="en-US"/>
        </w:rPr>
        <w:t xml:space="preserve">for NR-U to introduce </w:t>
      </w:r>
      <w:r w:rsidR="00E574E8">
        <w:rPr>
          <w:lang w:val="en-US"/>
        </w:rPr>
        <w:t xml:space="preserve">additional </w:t>
      </w:r>
      <w:r w:rsidR="00223986" w:rsidRPr="00E574E8">
        <w:rPr>
          <w:lang w:val="en-US"/>
        </w:rPr>
        <w:t xml:space="preserve">HARQ-ACK feedback </w:t>
      </w:r>
      <w:r w:rsidR="00E574E8" w:rsidRPr="00E574E8">
        <w:rPr>
          <w:lang w:val="en-US"/>
        </w:rPr>
        <w:t>mechanism</w:t>
      </w:r>
      <w:r w:rsidR="00223986" w:rsidRPr="00E574E8">
        <w:rPr>
          <w:lang w:val="en-US"/>
        </w:rPr>
        <w:t xml:space="preserve"> to </w:t>
      </w:r>
      <w:r w:rsidR="00E574E8">
        <w:rPr>
          <w:lang w:val="en-US"/>
        </w:rPr>
        <w:t xml:space="preserve">inform HARQ-ACK information for more than one HARQ process and to </w:t>
      </w:r>
      <w:r w:rsidR="00223986" w:rsidRPr="00E574E8">
        <w:rPr>
          <w:lang w:val="en-US"/>
        </w:rPr>
        <w:t>facilitate the latest HARQ-ACK information with marginal overhead</w:t>
      </w:r>
      <w:r w:rsidR="00E574E8" w:rsidRPr="00E574E8">
        <w:rPr>
          <w:lang w:val="en-US"/>
        </w:rPr>
        <w:t xml:space="preserve"> as much as possible</w:t>
      </w:r>
      <w:r w:rsidR="00223986" w:rsidRPr="00E574E8">
        <w:rPr>
          <w:lang w:val="en-US"/>
        </w:rPr>
        <w:t>.</w:t>
      </w:r>
      <w:r w:rsidR="00B51FAB">
        <w:rPr>
          <w:lang w:val="en-US"/>
        </w:rPr>
        <w:t xml:space="preserve"> HARQ-ACK feedback mechanism introduced for Rel-15 LTE LAA could be a baseline.</w:t>
      </w:r>
    </w:p>
    <w:p w14:paraId="315E9D9A" w14:textId="2320FE52" w:rsidR="0072612A" w:rsidRPr="000C65D7" w:rsidRDefault="0072612A" w:rsidP="000C65D7">
      <w:pPr>
        <w:spacing w:line="288" w:lineRule="auto"/>
        <w:jc w:val="both"/>
        <w:rPr>
          <w:rFonts w:eastAsia="바탕"/>
          <w:b/>
          <w:u w:val="single"/>
          <w:lang w:val="en-US"/>
        </w:rPr>
      </w:pPr>
      <w:r w:rsidRPr="000C65D7">
        <w:rPr>
          <w:rFonts w:eastAsia="바탕"/>
          <w:b/>
          <w:u w:val="single"/>
          <w:lang w:val="en-US"/>
        </w:rPr>
        <w:t xml:space="preserve">Proposal </w:t>
      </w:r>
      <w:r w:rsidR="004E07A7" w:rsidRPr="000C65D7">
        <w:rPr>
          <w:rFonts w:eastAsia="바탕"/>
          <w:b/>
          <w:u w:val="single"/>
          <w:lang w:val="en-US"/>
        </w:rPr>
        <w:t>4</w:t>
      </w:r>
      <w:r w:rsidRPr="000C65D7">
        <w:rPr>
          <w:rFonts w:eastAsia="바탕"/>
          <w:b/>
          <w:u w:val="single"/>
          <w:lang w:val="en-US"/>
        </w:rPr>
        <w:t>:</w:t>
      </w:r>
      <w:r w:rsidR="00223986" w:rsidRPr="000C65D7">
        <w:rPr>
          <w:rFonts w:eastAsia="바탕"/>
          <w:b/>
          <w:u w:val="single"/>
          <w:lang w:val="en-US"/>
        </w:rPr>
        <w:t xml:space="preserve"> </w:t>
      </w:r>
      <w:r w:rsidR="00E574E8" w:rsidRPr="000C65D7">
        <w:rPr>
          <w:rFonts w:eastAsia="바탕"/>
          <w:b/>
          <w:u w:val="single"/>
          <w:lang w:val="en-US"/>
        </w:rPr>
        <w:t xml:space="preserve">NR-U </w:t>
      </w:r>
      <w:r w:rsidR="004E07A7" w:rsidRPr="000C65D7">
        <w:rPr>
          <w:rFonts w:eastAsia="바탕"/>
          <w:b/>
          <w:u w:val="single"/>
          <w:lang w:val="en-US"/>
        </w:rPr>
        <w:t xml:space="preserve">shall </w:t>
      </w:r>
      <w:r w:rsidR="00E574E8" w:rsidRPr="000C65D7">
        <w:rPr>
          <w:rFonts w:eastAsia="바탕"/>
          <w:b/>
          <w:u w:val="single"/>
          <w:lang w:val="en-US"/>
        </w:rPr>
        <w:t>consider additional HARQ-ACK feedback mechanism to efficiently facilitate the latest HARQ-ACK information in channel access procedure</w:t>
      </w:r>
      <w:r w:rsidR="004E07A7" w:rsidRPr="000C65D7">
        <w:rPr>
          <w:rFonts w:eastAsia="바탕"/>
          <w:b/>
          <w:u w:val="single"/>
          <w:lang w:val="en-US"/>
        </w:rPr>
        <w:t>.</w:t>
      </w:r>
    </w:p>
    <w:p w14:paraId="2B123A6D" w14:textId="77777777" w:rsidR="0072612A" w:rsidRDefault="0072612A" w:rsidP="0072612A">
      <w:pPr>
        <w:spacing w:after="0"/>
        <w:jc w:val="both"/>
        <w:rPr>
          <w:b/>
          <w:u w:val="single"/>
        </w:rPr>
      </w:pPr>
    </w:p>
    <w:p w14:paraId="4D106F48" w14:textId="5DFF2FFA" w:rsidR="0072612A" w:rsidRPr="0072612A" w:rsidRDefault="0072612A" w:rsidP="0072612A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3A5EA4EB" w14:textId="77777777" w:rsidR="0072612A" w:rsidRPr="000C65D7" w:rsidRDefault="0072612A" w:rsidP="0072612A">
      <w:pPr>
        <w:spacing w:line="288" w:lineRule="auto"/>
        <w:jc w:val="both"/>
        <w:rPr>
          <w:rFonts w:eastAsia="바탕"/>
          <w:b/>
          <w:u w:val="single"/>
          <w:lang w:val="en-US"/>
        </w:rPr>
      </w:pPr>
      <w:r w:rsidRPr="000C65D7">
        <w:rPr>
          <w:rFonts w:eastAsia="바탕"/>
          <w:b/>
          <w:u w:val="single"/>
          <w:lang w:val="en-US"/>
        </w:rPr>
        <w:t>Proposal 1: NR-U shall reuse the candidate subcarrier spacing for SS/PBCH block and the maximum number of SS/PBCH blocks within a burst set for carrier frequency range lower than 52.6 GHz, and further study the parameters for carrier frequency range larger than 52.6 GHz.</w:t>
      </w:r>
    </w:p>
    <w:p w14:paraId="2850D42F" w14:textId="63731F3E" w:rsidR="00BF6F15" w:rsidRPr="000C65D7" w:rsidRDefault="00BF6F15" w:rsidP="00BF6F15">
      <w:pPr>
        <w:spacing w:line="288" w:lineRule="auto"/>
        <w:jc w:val="both"/>
        <w:rPr>
          <w:rFonts w:eastAsia="바탕"/>
          <w:b/>
          <w:u w:val="single"/>
          <w:lang w:val="en-US"/>
        </w:rPr>
      </w:pPr>
      <w:r w:rsidRPr="000C65D7">
        <w:rPr>
          <w:rFonts w:eastAsia="바탕"/>
          <w:b/>
          <w:u w:val="single"/>
          <w:lang w:val="en-US"/>
        </w:rPr>
        <w:t>Proposal 2: NR-U shall evaluate the performance of LBT-based transmission of SS/PBCH blocks, and study potential solutions for enhanced synchronization signal and/or PBCH performance if needed.</w:t>
      </w:r>
    </w:p>
    <w:p w14:paraId="61412C0C" w14:textId="77777777" w:rsidR="004E07A7" w:rsidRPr="000C65D7" w:rsidRDefault="004E07A7" w:rsidP="004E07A7">
      <w:pPr>
        <w:spacing w:line="288" w:lineRule="auto"/>
        <w:jc w:val="both"/>
        <w:rPr>
          <w:rFonts w:eastAsia="바탕"/>
          <w:b/>
          <w:u w:val="single"/>
          <w:lang w:val="en-US"/>
        </w:rPr>
      </w:pPr>
      <w:r w:rsidRPr="000C65D7">
        <w:rPr>
          <w:rFonts w:eastAsia="바탕"/>
          <w:b/>
          <w:u w:val="single"/>
          <w:lang w:val="en-US"/>
        </w:rPr>
        <w:t>Proposal 3: NR-U shall study the i</w:t>
      </w:r>
      <w:r w:rsidRPr="000C65D7">
        <w:rPr>
          <w:rFonts w:eastAsia="바탕" w:hint="eastAsia"/>
          <w:b/>
          <w:u w:val="single"/>
          <w:lang w:val="en-US"/>
        </w:rPr>
        <w:t xml:space="preserve">nterlaced resource allocation </w:t>
      </w:r>
      <w:r w:rsidRPr="000C65D7">
        <w:rPr>
          <w:rFonts w:eastAsia="바탕"/>
          <w:b/>
          <w:u w:val="single"/>
          <w:lang w:val="en-US"/>
        </w:rPr>
        <w:t xml:space="preserve">at least </w:t>
      </w:r>
      <w:r w:rsidRPr="000C65D7">
        <w:rPr>
          <w:rFonts w:eastAsia="바탕" w:hint="eastAsia"/>
          <w:b/>
          <w:u w:val="single"/>
          <w:lang w:val="en-US"/>
        </w:rPr>
        <w:t xml:space="preserve">for </w:t>
      </w:r>
      <w:r w:rsidRPr="000C65D7">
        <w:rPr>
          <w:rFonts w:eastAsia="바탕"/>
          <w:b/>
          <w:u w:val="single"/>
          <w:lang w:val="en-US"/>
        </w:rPr>
        <w:t>PUSCH/PUCCH/PRACH to meet the OCB requirement</w:t>
      </w:r>
      <w:r w:rsidRPr="000C65D7">
        <w:rPr>
          <w:rFonts w:eastAsia="바탕" w:hint="eastAsia"/>
          <w:b/>
          <w:u w:val="single"/>
          <w:lang w:val="en-US"/>
        </w:rPr>
        <w:t>.</w:t>
      </w:r>
    </w:p>
    <w:p w14:paraId="0600EA87" w14:textId="77777777" w:rsidR="004E07A7" w:rsidRPr="000C65D7" w:rsidRDefault="004E07A7" w:rsidP="000C65D7">
      <w:pPr>
        <w:spacing w:line="288" w:lineRule="auto"/>
        <w:jc w:val="both"/>
        <w:rPr>
          <w:rFonts w:eastAsia="바탕"/>
          <w:b/>
          <w:u w:val="single"/>
          <w:lang w:val="en-US"/>
        </w:rPr>
      </w:pPr>
      <w:r w:rsidRPr="000C65D7">
        <w:rPr>
          <w:rFonts w:eastAsia="바탕"/>
          <w:b/>
          <w:u w:val="single"/>
          <w:lang w:val="en-US"/>
        </w:rPr>
        <w:t>Proposal 4: NR-U shall consider additional HARQ-ACK feedback mechanism to efficiently facilitate the latest HARQ-ACK information in channel access procedure.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9E53C6E" w14:textId="5B8959F3" w:rsidR="003C3B35" w:rsidRDefault="006A6F6C" w:rsidP="003C3B35">
      <w:pPr>
        <w:spacing w:after="0"/>
        <w:jc w:val="both"/>
        <w:rPr>
          <w:rFonts w:eastAsia="MS Mincho"/>
          <w:lang w:eastAsia="ja-JP"/>
        </w:rPr>
      </w:pPr>
      <w:r w:rsidRPr="00EE006E">
        <w:rPr>
          <w:rFonts w:eastAsia="MS Mincho"/>
          <w:lang w:eastAsia="ja-JP"/>
        </w:rPr>
        <w:t xml:space="preserve">[1] </w:t>
      </w:r>
      <w:r w:rsidR="0045630B">
        <w:rPr>
          <w:rFonts w:eastAsia="MS Mincho"/>
          <w:lang w:eastAsia="ja-JP"/>
        </w:rPr>
        <w:t>RAN1 Chairman’s Note, 3GPP TSG RAN WG1 Meeting #92, Athens, Greece, Febru</w:t>
      </w:r>
      <w:r w:rsidR="0045630B" w:rsidRPr="0049216E">
        <w:rPr>
          <w:rFonts w:eastAsia="MS Mincho"/>
          <w:lang w:eastAsia="ja-JP"/>
        </w:rPr>
        <w:t>ary 26th – March 2nd, 2018</w:t>
      </w:r>
      <w:r>
        <w:rPr>
          <w:rFonts w:eastAsia="MS Mincho"/>
          <w:lang w:eastAsia="ja-JP"/>
        </w:rPr>
        <w:t>.</w:t>
      </w:r>
    </w:p>
    <w:p w14:paraId="5B08C6AC" w14:textId="7AF5D227" w:rsidR="00BF6F15" w:rsidRPr="006A0404" w:rsidRDefault="00BF6F15" w:rsidP="003C3B35">
      <w:pPr>
        <w:spacing w:after="0"/>
        <w:jc w:val="both"/>
        <w:rPr>
          <w:rFonts w:eastAsia="SimSun"/>
          <w:lang w:eastAsia="zh-CN"/>
        </w:rPr>
      </w:pPr>
      <w:r>
        <w:rPr>
          <w:rFonts w:eastAsia="MS Mincho"/>
          <w:lang w:eastAsia="ja-JP"/>
        </w:rPr>
        <w:t>[</w:t>
      </w:r>
      <w:r w:rsidR="005260CB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] </w:t>
      </w:r>
      <w:r w:rsidR="006A0404" w:rsidRPr="006A0404">
        <w:rPr>
          <w:rFonts w:eastAsia="MS Mincho"/>
          <w:lang w:eastAsia="ja-JP"/>
        </w:rPr>
        <w:t>ETSI EN 302 567 V2.0.22</w:t>
      </w:r>
      <w:r w:rsidR="006A0404">
        <w:rPr>
          <w:rFonts w:eastAsia="SimSun" w:hint="eastAsia"/>
          <w:lang w:eastAsia="zh-CN"/>
        </w:rPr>
        <w:t xml:space="preserve">. </w:t>
      </w:r>
    </w:p>
    <w:p w14:paraId="7438179D" w14:textId="3F4C9346" w:rsidR="00BF6F15" w:rsidRPr="006A0404" w:rsidRDefault="00BF6F15" w:rsidP="003C3B35">
      <w:pPr>
        <w:spacing w:after="0"/>
        <w:jc w:val="both"/>
        <w:rPr>
          <w:rFonts w:eastAsia="SimSun"/>
          <w:lang w:eastAsia="zh-CN"/>
        </w:rPr>
      </w:pPr>
      <w:r>
        <w:rPr>
          <w:rFonts w:eastAsia="MS Mincho"/>
          <w:lang w:eastAsia="ja-JP"/>
        </w:rPr>
        <w:t>[</w:t>
      </w:r>
      <w:r w:rsidR="005260CB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]</w:t>
      </w:r>
      <w:r w:rsidR="006A0404">
        <w:rPr>
          <w:rFonts w:eastAsia="SimSun" w:hint="eastAsia"/>
          <w:lang w:eastAsia="zh-CN"/>
        </w:rPr>
        <w:t xml:space="preserve"> R1-18</w:t>
      </w:r>
      <w:r w:rsidR="005260CB">
        <w:rPr>
          <w:rFonts w:eastAsia="SimSun"/>
          <w:lang w:eastAsia="zh-CN"/>
        </w:rPr>
        <w:t>4405</w:t>
      </w:r>
      <w:r w:rsidR="006A0404">
        <w:rPr>
          <w:rFonts w:eastAsia="SimSun" w:hint="eastAsia"/>
          <w:lang w:eastAsia="zh-CN"/>
        </w:rPr>
        <w:t xml:space="preserve">, </w:t>
      </w:r>
      <w:r w:rsidR="006A0404" w:rsidRPr="006A0404">
        <w:rPr>
          <w:rFonts w:eastAsia="SimSun"/>
          <w:lang w:eastAsia="zh-CN"/>
        </w:rPr>
        <w:t>Potential physical layer procedures for NR-U</w:t>
      </w:r>
      <w:r w:rsidR="006A0404">
        <w:rPr>
          <w:rFonts w:eastAsia="SimSun" w:hint="eastAsia"/>
          <w:lang w:eastAsia="zh-CN"/>
        </w:rPr>
        <w:t xml:space="preserve">, Samsung. </w:t>
      </w:r>
    </w:p>
    <w:sectPr w:rsidR="00BF6F15" w:rsidRPr="006A0404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B0EA" w14:textId="77777777" w:rsidR="004D368E" w:rsidRDefault="004D368E" w:rsidP="00083046">
      <w:r>
        <w:separator/>
      </w:r>
    </w:p>
  </w:endnote>
  <w:endnote w:type="continuationSeparator" w:id="0">
    <w:p w14:paraId="017808EA" w14:textId="77777777" w:rsidR="004D368E" w:rsidRDefault="004D368E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59179" w14:textId="77777777" w:rsidR="004D368E" w:rsidRDefault="004D368E" w:rsidP="00083046">
      <w:r>
        <w:separator/>
      </w:r>
    </w:p>
  </w:footnote>
  <w:footnote w:type="continuationSeparator" w:id="0">
    <w:p w14:paraId="4EBBB74F" w14:textId="77777777" w:rsidR="004D368E" w:rsidRDefault="004D368E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5E52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26E6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688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5D7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56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7B7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43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986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1B38"/>
    <w:rsid w:val="002624DF"/>
    <w:rsid w:val="00262587"/>
    <w:rsid w:val="00263113"/>
    <w:rsid w:val="002638DC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26D"/>
    <w:rsid w:val="00296E64"/>
    <w:rsid w:val="00297C2F"/>
    <w:rsid w:val="002A0128"/>
    <w:rsid w:val="002A19DE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B10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711F"/>
    <w:rsid w:val="003F7398"/>
    <w:rsid w:val="003F7931"/>
    <w:rsid w:val="003F7E7C"/>
    <w:rsid w:val="003F7F2B"/>
    <w:rsid w:val="004000DA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702F"/>
    <w:rsid w:val="004471CE"/>
    <w:rsid w:val="00447AB0"/>
    <w:rsid w:val="00450544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30B"/>
    <w:rsid w:val="00456447"/>
    <w:rsid w:val="004567CE"/>
    <w:rsid w:val="00456E98"/>
    <w:rsid w:val="00457E86"/>
    <w:rsid w:val="004608C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34D4"/>
    <w:rsid w:val="004D368E"/>
    <w:rsid w:val="004D4638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07A7"/>
    <w:rsid w:val="004E1269"/>
    <w:rsid w:val="004E19A1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0CB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3739"/>
    <w:rsid w:val="00565D98"/>
    <w:rsid w:val="00565F55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01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28B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37C44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404"/>
    <w:rsid w:val="006A0925"/>
    <w:rsid w:val="006A25EB"/>
    <w:rsid w:val="006A2B48"/>
    <w:rsid w:val="006A2B88"/>
    <w:rsid w:val="006A2D38"/>
    <w:rsid w:val="006A333B"/>
    <w:rsid w:val="006A3341"/>
    <w:rsid w:val="006A3C17"/>
    <w:rsid w:val="006A3C92"/>
    <w:rsid w:val="006A5593"/>
    <w:rsid w:val="006A6F6C"/>
    <w:rsid w:val="006A6FAD"/>
    <w:rsid w:val="006A7B44"/>
    <w:rsid w:val="006B17EB"/>
    <w:rsid w:val="006B1826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263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0AC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3E5"/>
    <w:rsid w:val="00725549"/>
    <w:rsid w:val="0072612A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009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2E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04B"/>
    <w:rsid w:val="0087249F"/>
    <w:rsid w:val="008726DC"/>
    <w:rsid w:val="00872B4C"/>
    <w:rsid w:val="00873BC4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2BDD"/>
    <w:rsid w:val="008A2FC4"/>
    <w:rsid w:val="008A3312"/>
    <w:rsid w:val="008A4040"/>
    <w:rsid w:val="008A4260"/>
    <w:rsid w:val="008A44DA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365E"/>
    <w:rsid w:val="00914EE1"/>
    <w:rsid w:val="00915590"/>
    <w:rsid w:val="009170D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14ED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FCB"/>
    <w:rsid w:val="00A053C7"/>
    <w:rsid w:val="00A0774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0D45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3CDC"/>
    <w:rsid w:val="00A63D53"/>
    <w:rsid w:val="00A644DE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8A5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9E2"/>
    <w:rsid w:val="00AC5F5B"/>
    <w:rsid w:val="00AC6235"/>
    <w:rsid w:val="00AC7214"/>
    <w:rsid w:val="00AD0436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0BE"/>
    <w:rsid w:val="00B4722A"/>
    <w:rsid w:val="00B51434"/>
    <w:rsid w:val="00B51715"/>
    <w:rsid w:val="00B51895"/>
    <w:rsid w:val="00B51FAB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6CC5"/>
    <w:rsid w:val="00B7077E"/>
    <w:rsid w:val="00B71051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6ED"/>
    <w:rsid w:val="00B848C9"/>
    <w:rsid w:val="00B855C2"/>
    <w:rsid w:val="00B85D36"/>
    <w:rsid w:val="00B908E4"/>
    <w:rsid w:val="00B936C9"/>
    <w:rsid w:val="00B93E09"/>
    <w:rsid w:val="00B93E60"/>
    <w:rsid w:val="00B93EE0"/>
    <w:rsid w:val="00B95AA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308A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EA"/>
    <w:rsid w:val="00BF39D9"/>
    <w:rsid w:val="00BF3BB8"/>
    <w:rsid w:val="00BF5C32"/>
    <w:rsid w:val="00BF5C43"/>
    <w:rsid w:val="00BF6F15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5BC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47C2C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800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98F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6C6"/>
    <w:rsid w:val="00CA5BE5"/>
    <w:rsid w:val="00CA66E7"/>
    <w:rsid w:val="00CB0153"/>
    <w:rsid w:val="00CB0560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1EF"/>
    <w:rsid w:val="00CF0260"/>
    <w:rsid w:val="00CF03A8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0E36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4E2B"/>
    <w:rsid w:val="00D8542D"/>
    <w:rsid w:val="00D866E9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154"/>
    <w:rsid w:val="00E10928"/>
    <w:rsid w:val="00E10B86"/>
    <w:rsid w:val="00E1137D"/>
    <w:rsid w:val="00E113D6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74E8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EC9"/>
    <w:rsid w:val="00EE4674"/>
    <w:rsid w:val="00EE4827"/>
    <w:rsid w:val="00EE6F4C"/>
    <w:rsid w:val="00EE79D7"/>
    <w:rsid w:val="00EF009A"/>
    <w:rsid w:val="00EF0701"/>
    <w:rsid w:val="00EF08AA"/>
    <w:rsid w:val="00EF0DBD"/>
    <w:rsid w:val="00EF12AC"/>
    <w:rsid w:val="00EF21E2"/>
    <w:rsid w:val="00EF2A05"/>
    <w:rsid w:val="00EF2C8E"/>
    <w:rsid w:val="00EF2D06"/>
    <w:rsid w:val="00EF2E76"/>
    <w:rsid w:val="00EF3DB6"/>
    <w:rsid w:val="00EF4148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A63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C338C395-8517-4C0A-BFB5-A82DE6257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BE358-6C75-4336-B655-92B43A7B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1711</Words>
  <Characters>9755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오진영/글로벌표준팀(SR)/Senior Engineer/삼성전자</cp:lastModifiedBy>
  <cp:revision>4</cp:revision>
  <cp:lastPrinted>2012-03-15T10:36:00Z</cp:lastPrinted>
  <dcterms:created xsi:type="dcterms:W3CDTF">2018-04-05T01:31:00Z</dcterms:created>
  <dcterms:modified xsi:type="dcterms:W3CDTF">2018-04-06T06:04:00Z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C:\mySingle\TEMP\R1-180XXXX-NRU-Channel-draft.docx</vt:lpwstr>
  </property>
</Properties>
</file>